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C4995FB">
      <w:pPr>
        <w:rPr>
          <w:rFonts w:hint="eastAsia" w:ascii="黑体" w:hAnsi="黑体" w:eastAsia="黑体"/>
          <w:bCs/>
          <w:color w:val="000000"/>
          <w:sz w:val="32"/>
          <w:szCs w:val="32"/>
        </w:rPr>
      </w:pPr>
      <w:bookmarkStart w:id="0" w:name="_GoBack"/>
      <w:bookmarkEnd w:id="0"/>
      <w:r>
        <w:rPr>
          <w:rFonts w:hint="eastAsia" w:ascii="黑体" w:hAnsi="黑体" w:eastAsia="黑体"/>
          <w:bCs/>
          <w:color w:val="000000"/>
          <w:sz w:val="32"/>
          <w:szCs w:val="32"/>
        </w:rPr>
        <w:t>附</w:t>
      </w:r>
      <w:r>
        <w:rPr>
          <w:rFonts w:hint="eastAsia" w:ascii="黑体" w:hAnsi="黑体" w:eastAsia="黑体" w:cs="宋体"/>
          <w:sz w:val="32"/>
          <w:szCs w:val="32"/>
        </w:rPr>
        <w:t>件</w:t>
      </w:r>
      <w:r>
        <w:rPr>
          <w:rFonts w:hint="eastAsia" w:ascii="黑体" w:hAnsi="黑体" w:eastAsia="黑体"/>
          <w:bCs/>
          <w:color w:val="000000"/>
          <w:sz w:val="32"/>
          <w:szCs w:val="32"/>
        </w:rPr>
        <w:t>3</w:t>
      </w:r>
    </w:p>
    <w:p w14:paraId="4E0B89DC">
      <w:pPr>
        <w:adjustRightInd w:val="0"/>
        <w:snapToGrid w:val="0"/>
        <w:spacing w:line="720" w:lineRule="exact"/>
        <w:jc w:val="center"/>
        <w:rPr>
          <w:rFonts w:hint="eastAsia" w:ascii="宋体" w:hAnsi="宋体"/>
          <w:szCs w:val="21"/>
        </w:rPr>
      </w:pPr>
      <w:r>
        <w:rPr>
          <w:rFonts w:hint="eastAsia" w:ascii="方正小标宋简体" w:eastAsia="方正小标宋简体"/>
          <w:sz w:val="44"/>
          <w:szCs w:val="44"/>
        </w:rPr>
        <w:t>三亚市中西医结合医院（广州中医药大学附属粤海三亚医院）分散采购需求书</w:t>
      </w:r>
    </w:p>
    <w:p w14:paraId="57A3FBF6">
      <w:pPr>
        <w:ind w:left="991" w:hanging="991" w:hangingChars="472"/>
        <w:jc w:val="left"/>
        <w:rPr>
          <w:rFonts w:hint="eastAsia" w:ascii="宋体" w:hAnsi="宋体"/>
          <w:szCs w:val="21"/>
        </w:rPr>
      </w:pPr>
    </w:p>
    <w:p w14:paraId="2BB4A84C">
      <w:pPr>
        <w:ind w:left="991" w:hanging="991" w:hangingChars="472"/>
        <w:jc w:val="left"/>
        <w:rPr>
          <w:rFonts w:hint="eastAsia" w:ascii="宋体" w:hAnsi="宋体"/>
          <w:szCs w:val="21"/>
        </w:rPr>
      </w:pPr>
      <w:r>
        <w:rPr>
          <w:rFonts w:hint="eastAsia" w:ascii="宋体" w:hAnsi="宋体"/>
          <w:szCs w:val="21"/>
        </w:rPr>
        <w:t>使用单位：三亚市中西医结合医院（广州中医药大学附属粤海三亚医院）</w:t>
      </w:r>
    </w:p>
    <w:p w14:paraId="14591DA7">
      <w:pPr>
        <w:ind w:left="991" w:hanging="991" w:hangingChars="472"/>
        <w:jc w:val="left"/>
        <w:rPr>
          <w:rFonts w:hint="eastAsia" w:ascii="宋体" w:hAnsi="宋体"/>
          <w:szCs w:val="21"/>
        </w:rPr>
      </w:pPr>
    </w:p>
    <w:tbl>
      <w:tblPr>
        <w:tblStyle w:val="10"/>
        <w:tblW w:w="5081"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69"/>
        <w:gridCol w:w="1715"/>
        <w:gridCol w:w="1913"/>
        <w:gridCol w:w="1757"/>
        <w:gridCol w:w="816"/>
        <w:gridCol w:w="1668"/>
        <w:gridCol w:w="1987"/>
      </w:tblGrid>
      <w:tr w14:paraId="10C6AD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000" w:type="pct"/>
            <w:gridSpan w:val="7"/>
            <w:tcBorders>
              <w:top w:val="single" w:color="auto" w:sz="4" w:space="0"/>
              <w:left w:val="single" w:color="auto" w:sz="4" w:space="0"/>
              <w:bottom w:val="single" w:color="auto" w:sz="4" w:space="0"/>
              <w:right w:val="single" w:color="auto" w:sz="4" w:space="0"/>
            </w:tcBorders>
            <w:vAlign w:val="center"/>
          </w:tcPr>
          <w:p w14:paraId="4CA92A40">
            <w:pPr>
              <w:jc w:val="center"/>
              <w:rPr>
                <w:rFonts w:hint="eastAsia" w:ascii="宋体" w:hAnsi="宋体" w:cs="宋体"/>
                <w:szCs w:val="21"/>
              </w:rPr>
            </w:pPr>
            <w:r>
              <w:rPr>
                <w:rFonts w:hint="eastAsia" w:ascii="宋体" w:hAnsi="宋体" w:cs="宋体"/>
                <w:szCs w:val="21"/>
              </w:rPr>
              <w:t>货物类采购项目</w:t>
            </w:r>
          </w:p>
        </w:tc>
      </w:tr>
      <w:tr w14:paraId="7D8E07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362" w:type="pct"/>
            <w:tcBorders>
              <w:top w:val="single" w:color="auto" w:sz="4" w:space="0"/>
              <w:left w:val="single" w:color="auto" w:sz="4" w:space="0"/>
              <w:bottom w:val="single" w:color="auto" w:sz="4" w:space="0"/>
            </w:tcBorders>
            <w:vAlign w:val="center"/>
          </w:tcPr>
          <w:p w14:paraId="30F6D4DB">
            <w:pPr>
              <w:jc w:val="center"/>
              <w:rPr>
                <w:rFonts w:hint="eastAsia" w:ascii="宋体" w:hAnsi="宋体" w:cs="宋体"/>
                <w:szCs w:val="21"/>
              </w:rPr>
            </w:pPr>
            <w:r>
              <w:rPr>
                <w:rFonts w:hint="eastAsia" w:ascii="宋体" w:hAnsi="宋体" w:cs="宋体"/>
                <w:szCs w:val="21"/>
              </w:rPr>
              <w:t>序号</w:t>
            </w:r>
          </w:p>
        </w:tc>
        <w:tc>
          <w:tcPr>
            <w:tcW w:w="807" w:type="pct"/>
            <w:tcBorders>
              <w:top w:val="single" w:color="auto" w:sz="4" w:space="0"/>
              <w:left w:val="single" w:color="auto" w:sz="4" w:space="0"/>
              <w:bottom w:val="single" w:color="auto" w:sz="4" w:space="0"/>
            </w:tcBorders>
            <w:vAlign w:val="center"/>
          </w:tcPr>
          <w:p w14:paraId="0850B53F">
            <w:pPr>
              <w:jc w:val="center"/>
              <w:rPr>
                <w:rFonts w:hint="eastAsia" w:ascii="宋体" w:hAnsi="宋体" w:cs="宋体"/>
                <w:szCs w:val="21"/>
              </w:rPr>
            </w:pPr>
            <w:r>
              <w:rPr>
                <w:rFonts w:hint="eastAsia" w:ascii="宋体" w:hAnsi="宋体" w:cs="宋体"/>
                <w:szCs w:val="21"/>
              </w:rPr>
              <w:t>名称</w:t>
            </w:r>
          </w:p>
        </w:tc>
        <w:tc>
          <w:tcPr>
            <w:tcW w:w="900" w:type="pct"/>
            <w:tcBorders>
              <w:top w:val="single" w:color="auto" w:sz="4" w:space="0"/>
            </w:tcBorders>
            <w:vAlign w:val="center"/>
          </w:tcPr>
          <w:p w14:paraId="1B45E3A4">
            <w:pPr>
              <w:jc w:val="center"/>
              <w:rPr>
                <w:rFonts w:hint="eastAsia" w:ascii="宋体" w:hAnsi="宋体" w:cs="宋体"/>
                <w:szCs w:val="21"/>
              </w:rPr>
            </w:pPr>
            <w:r>
              <w:rPr>
                <w:rFonts w:hint="eastAsia" w:ascii="宋体" w:hAnsi="宋体" w:cs="宋体"/>
                <w:szCs w:val="21"/>
              </w:rPr>
              <w:t>核心产品要求</w:t>
            </w:r>
          </w:p>
        </w:tc>
        <w:tc>
          <w:tcPr>
            <w:tcW w:w="827" w:type="pct"/>
            <w:tcBorders>
              <w:top w:val="single" w:color="auto" w:sz="4" w:space="0"/>
            </w:tcBorders>
            <w:vAlign w:val="center"/>
          </w:tcPr>
          <w:p w14:paraId="633AD56E">
            <w:pPr>
              <w:jc w:val="center"/>
              <w:rPr>
                <w:rFonts w:hint="eastAsia" w:ascii="宋体" w:hAnsi="宋体" w:cs="宋体"/>
                <w:szCs w:val="21"/>
              </w:rPr>
            </w:pPr>
            <w:r>
              <w:rPr>
                <w:rFonts w:hint="eastAsia" w:ascii="宋体" w:hAnsi="宋体" w:cs="宋体"/>
                <w:szCs w:val="21"/>
              </w:rPr>
              <w:t>单位</w:t>
            </w:r>
          </w:p>
        </w:tc>
        <w:tc>
          <w:tcPr>
            <w:tcW w:w="384" w:type="pct"/>
            <w:tcBorders>
              <w:top w:val="single" w:color="auto" w:sz="4" w:space="0"/>
              <w:right w:val="single" w:color="auto" w:sz="4" w:space="0"/>
            </w:tcBorders>
            <w:vAlign w:val="center"/>
          </w:tcPr>
          <w:p w14:paraId="631AC868">
            <w:pPr>
              <w:jc w:val="center"/>
              <w:rPr>
                <w:rFonts w:hint="eastAsia" w:ascii="宋体" w:hAnsi="宋体" w:cs="宋体"/>
                <w:szCs w:val="21"/>
              </w:rPr>
            </w:pPr>
            <w:r>
              <w:rPr>
                <w:rFonts w:hint="eastAsia" w:ascii="宋体" w:hAnsi="宋体" w:cs="宋体"/>
                <w:szCs w:val="21"/>
              </w:rPr>
              <w:t>数量</w:t>
            </w:r>
          </w:p>
        </w:tc>
        <w:tc>
          <w:tcPr>
            <w:tcW w:w="785" w:type="pct"/>
            <w:tcBorders>
              <w:top w:val="single" w:color="auto" w:sz="4" w:space="0"/>
              <w:left w:val="single" w:color="auto" w:sz="4" w:space="0"/>
            </w:tcBorders>
            <w:vAlign w:val="center"/>
          </w:tcPr>
          <w:p w14:paraId="158729C1">
            <w:pPr>
              <w:jc w:val="center"/>
              <w:rPr>
                <w:rFonts w:hint="eastAsia" w:ascii="宋体" w:hAnsi="宋体" w:cs="宋体"/>
                <w:szCs w:val="21"/>
              </w:rPr>
            </w:pPr>
            <w:r>
              <w:rPr>
                <w:rFonts w:hint="eastAsia" w:ascii="宋体" w:hAnsi="宋体" w:cs="宋体"/>
                <w:szCs w:val="21"/>
              </w:rPr>
              <w:t>分项限价单价</w:t>
            </w:r>
          </w:p>
          <w:p w14:paraId="7D59A122">
            <w:pPr>
              <w:jc w:val="center"/>
              <w:rPr>
                <w:rFonts w:hint="eastAsia" w:ascii="宋体" w:hAnsi="宋体" w:cs="宋体"/>
                <w:szCs w:val="21"/>
              </w:rPr>
            </w:pPr>
            <w:r>
              <w:rPr>
                <w:rFonts w:hint="eastAsia" w:ascii="宋体" w:hAnsi="宋体" w:cs="宋体"/>
                <w:szCs w:val="21"/>
              </w:rPr>
              <w:t>（元）</w:t>
            </w:r>
          </w:p>
        </w:tc>
        <w:tc>
          <w:tcPr>
            <w:tcW w:w="935" w:type="pct"/>
            <w:tcBorders>
              <w:top w:val="single" w:color="auto" w:sz="4" w:space="0"/>
            </w:tcBorders>
            <w:vAlign w:val="center"/>
          </w:tcPr>
          <w:p w14:paraId="72879540">
            <w:pPr>
              <w:ind w:left="-124" w:leftChars="-59" w:right="-189" w:rightChars="-90"/>
              <w:jc w:val="center"/>
              <w:rPr>
                <w:rFonts w:hint="eastAsia" w:ascii="宋体" w:hAnsi="宋体" w:cs="宋体"/>
                <w:szCs w:val="21"/>
              </w:rPr>
            </w:pPr>
            <w:r>
              <w:rPr>
                <w:rFonts w:hint="eastAsia" w:ascii="宋体" w:hAnsi="宋体" w:cs="宋体"/>
                <w:szCs w:val="21"/>
              </w:rPr>
              <w:t>分项限价总价</w:t>
            </w:r>
          </w:p>
          <w:p w14:paraId="5675BAD9">
            <w:pPr>
              <w:ind w:left="-124" w:leftChars="-59" w:right="-189" w:rightChars="-90"/>
              <w:jc w:val="center"/>
              <w:rPr>
                <w:rFonts w:hint="eastAsia" w:ascii="宋体" w:hAnsi="宋体" w:cs="宋体"/>
                <w:szCs w:val="21"/>
              </w:rPr>
            </w:pPr>
            <w:r>
              <w:rPr>
                <w:rFonts w:hint="eastAsia" w:ascii="宋体" w:hAnsi="宋体" w:cs="宋体"/>
                <w:szCs w:val="21"/>
              </w:rPr>
              <w:t>（元）</w:t>
            </w:r>
          </w:p>
        </w:tc>
      </w:tr>
      <w:tr w14:paraId="6D1A3A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82" w:hRule="atLeast"/>
        </w:trPr>
        <w:tc>
          <w:tcPr>
            <w:tcW w:w="362" w:type="pct"/>
            <w:tcBorders>
              <w:top w:val="single" w:color="auto" w:sz="4" w:space="0"/>
              <w:left w:val="single" w:color="auto" w:sz="4" w:space="0"/>
              <w:bottom w:val="single" w:color="auto" w:sz="4" w:space="0"/>
            </w:tcBorders>
            <w:vAlign w:val="center"/>
          </w:tcPr>
          <w:p w14:paraId="4CCC2053">
            <w:pPr>
              <w:jc w:val="center"/>
              <w:rPr>
                <w:rFonts w:hint="eastAsia" w:ascii="宋体" w:hAnsi="宋体" w:cs="宋体"/>
                <w:szCs w:val="21"/>
              </w:rPr>
            </w:pPr>
            <w:r>
              <w:rPr>
                <w:rFonts w:hint="eastAsia" w:ascii="宋体" w:hAnsi="宋体" w:cs="宋体"/>
                <w:szCs w:val="21"/>
              </w:rPr>
              <w:t>1</w:t>
            </w:r>
          </w:p>
        </w:tc>
        <w:tc>
          <w:tcPr>
            <w:tcW w:w="807" w:type="pct"/>
            <w:tcBorders>
              <w:top w:val="single" w:color="auto" w:sz="4" w:space="0"/>
              <w:left w:val="single" w:color="auto" w:sz="4" w:space="0"/>
              <w:bottom w:val="single" w:color="auto" w:sz="4" w:space="0"/>
            </w:tcBorders>
            <w:vAlign w:val="center"/>
          </w:tcPr>
          <w:p w14:paraId="4E00E665">
            <w:pPr>
              <w:jc w:val="center"/>
              <w:rPr>
                <w:rFonts w:hint="eastAsia" w:ascii="宋体" w:hAnsi="宋体" w:cs="宋体"/>
                <w:szCs w:val="21"/>
              </w:rPr>
            </w:pPr>
            <w:r>
              <w:rPr>
                <w:rFonts w:hint="eastAsia" w:ascii="宋体" w:hAnsi="宋体" w:cs="宋体"/>
                <w:szCs w:val="21"/>
              </w:rPr>
              <w:t>台式计算机</w:t>
            </w:r>
          </w:p>
        </w:tc>
        <w:tc>
          <w:tcPr>
            <w:tcW w:w="900" w:type="pct"/>
            <w:vAlign w:val="center"/>
          </w:tcPr>
          <w:p w14:paraId="13938D28">
            <w:pPr>
              <w:jc w:val="center"/>
              <w:rPr>
                <w:rFonts w:hint="eastAsia" w:ascii="宋体" w:hAnsi="宋体" w:cs="宋体"/>
                <w:szCs w:val="21"/>
              </w:rPr>
            </w:pPr>
            <w:r>
              <w:rPr>
                <w:rFonts w:hint="eastAsia" w:ascii="宋体" w:hAnsi="宋体" w:cs="宋体"/>
                <w:szCs w:val="21"/>
              </w:rPr>
              <w:t>详见技术要求</w:t>
            </w:r>
          </w:p>
        </w:tc>
        <w:tc>
          <w:tcPr>
            <w:tcW w:w="827" w:type="pct"/>
            <w:vAlign w:val="center"/>
          </w:tcPr>
          <w:p w14:paraId="1E9AF08E">
            <w:pPr>
              <w:jc w:val="center"/>
              <w:rPr>
                <w:rFonts w:hint="eastAsia" w:ascii="宋体" w:hAnsi="宋体" w:cs="宋体"/>
                <w:szCs w:val="21"/>
              </w:rPr>
            </w:pPr>
            <w:r>
              <w:rPr>
                <w:rFonts w:hint="eastAsia" w:ascii="宋体" w:hAnsi="宋体" w:cs="宋体"/>
                <w:szCs w:val="21"/>
              </w:rPr>
              <w:t>台</w:t>
            </w:r>
          </w:p>
        </w:tc>
        <w:tc>
          <w:tcPr>
            <w:tcW w:w="384" w:type="pct"/>
            <w:tcBorders>
              <w:right w:val="single" w:color="auto" w:sz="4" w:space="0"/>
            </w:tcBorders>
            <w:vAlign w:val="center"/>
          </w:tcPr>
          <w:p w14:paraId="390B33D4">
            <w:pPr>
              <w:jc w:val="center"/>
              <w:rPr>
                <w:rFonts w:hint="eastAsia" w:ascii="宋体" w:hAnsi="宋体" w:cs="宋体"/>
                <w:szCs w:val="21"/>
              </w:rPr>
            </w:pPr>
            <w:r>
              <w:rPr>
                <w:rFonts w:hint="eastAsia" w:ascii="宋体" w:hAnsi="宋体" w:cs="宋体"/>
                <w:szCs w:val="21"/>
              </w:rPr>
              <w:t>20</w:t>
            </w:r>
          </w:p>
        </w:tc>
        <w:tc>
          <w:tcPr>
            <w:tcW w:w="785" w:type="pct"/>
            <w:tcBorders>
              <w:left w:val="single" w:color="auto" w:sz="4" w:space="0"/>
            </w:tcBorders>
            <w:vAlign w:val="center"/>
          </w:tcPr>
          <w:p w14:paraId="7DD0275A">
            <w:pPr>
              <w:jc w:val="center"/>
              <w:rPr>
                <w:rFonts w:hint="eastAsia" w:ascii="宋体" w:hAnsi="宋体" w:cs="宋体"/>
                <w:szCs w:val="21"/>
              </w:rPr>
            </w:pPr>
            <w:r>
              <w:rPr>
                <w:rFonts w:hint="eastAsia" w:ascii="宋体" w:hAnsi="宋体" w:cs="宋体"/>
                <w:szCs w:val="21"/>
              </w:rPr>
              <w:t>/</w:t>
            </w:r>
          </w:p>
        </w:tc>
        <w:tc>
          <w:tcPr>
            <w:tcW w:w="935" w:type="pct"/>
            <w:vAlign w:val="center"/>
          </w:tcPr>
          <w:p w14:paraId="358291A5">
            <w:pPr>
              <w:spacing w:line="180" w:lineRule="exact"/>
            </w:pPr>
            <w:r>
              <w:rPr>
                <w:rFonts w:hint="eastAsia"/>
              </w:rPr>
              <w:t>92,000</w:t>
            </w:r>
          </w:p>
        </w:tc>
      </w:tr>
      <w:tr w14:paraId="48DFF2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36" w:hRule="atLeast"/>
        </w:trPr>
        <w:tc>
          <w:tcPr>
            <w:tcW w:w="362" w:type="pct"/>
            <w:tcBorders>
              <w:top w:val="single" w:color="auto" w:sz="4" w:space="0"/>
              <w:left w:val="single" w:color="auto" w:sz="4" w:space="0"/>
              <w:bottom w:val="single" w:color="auto" w:sz="4" w:space="0"/>
            </w:tcBorders>
            <w:vAlign w:val="center"/>
          </w:tcPr>
          <w:p w14:paraId="224E14AD">
            <w:pPr>
              <w:jc w:val="center"/>
              <w:rPr>
                <w:rFonts w:hint="eastAsia" w:ascii="宋体" w:hAnsi="宋体" w:cs="宋体"/>
                <w:szCs w:val="21"/>
              </w:rPr>
            </w:pPr>
            <w:r>
              <w:rPr>
                <w:rFonts w:hint="eastAsia" w:ascii="宋体" w:hAnsi="宋体" w:cs="宋体"/>
                <w:szCs w:val="21"/>
              </w:rPr>
              <w:t>2</w:t>
            </w:r>
          </w:p>
        </w:tc>
        <w:tc>
          <w:tcPr>
            <w:tcW w:w="807" w:type="pct"/>
            <w:tcBorders>
              <w:top w:val="single" w:color="auto" w:sz="4" w:space="0"/>
              <w:left w:val="single" w:color="auto" w:sz="4" w:space="0"/>
              <w:bottom w:val="single" w:color="auto" w:sz="4" w:space="0"/>
            </w:tcBorders>
            <w:vAlign w:val="center"/>
          </w:tcPr>
          <w:p w14:paraId="287BFACE">
            <w:pPr>
              <w:jc w:val="center"/>
              <w:rPr>
                <w:rFonts w:hint="eastAsia" w:ascii="宋体" w:hAnsi="宋体" w:cs="宋体"/>
                <w:szCs w:val="21"/>
              </w:rPr>
            </w:pPr>
            <w:r>
              <w:rPr>
                <w:rFonts w:hint="eastAsia" w:ascii="宋体" w:hAnsi="宋体" w:cs="宋体"/>
                <w:szCs w:val="21"/>
              </w:rPr>
              <w:t>打印机</w:t>
            </w:r>
          </w:p>
        </w:tc>
        <w:tc>
          <w:tcPr>
            <w:tcW w:w="900" w:type="pct"/>
            <w:tcBorders>
              <w:bottom w:val="single" w:color="auto" w:sz="4" w:space="0"/>
            </w:tcBorders>
            <w:vAlign w:val="center"/>
          </w:tcPr>
          <w:p w14:paraId="37516F07">
            <w:pPr>
              <w:jc w:val="center"/>
              <w:rPr>
                <w:rFonts w:hint="eastAsia" w:ascii="宋体" w:hAnsi="宋体" w:cs="宋体"/>
                <w:szCs w:val="21"/>
              </w:rPr>
            </w:pPr>
            <w:r>
              <w:rPr>
                <w:rFonts w:hint="eastAsia" w:ascii="宋体" w:hAnsi="宋体" w:cs="宋体"/>
                <w:szCs w:val="21"/>
              </w:rPr>
              <w:t>详见技术要求</w:t>
            </w:r>
          </w:p>
        </w:tc>
        <w:tc>
          <w:tcPr>
            <w:tcW w:w="827" w:type="pct"/>
            <w:tcBorders>
              <w:bottom w:val="single" w:color="auto" w:sz="4" w:space="0"/>
            </w:tcBorders>
            <w:vAlign w:val="center"/>
          </w:tcPr>
          <w:p w14:paraId="4A1D303E">
            <w:pPr>
              <w:jc w:val="center"/>
              <w:rPr>
                <w:rFonts w:hint="eastAsia" w:ascii="宋体" w:hAnsi="宋体" w:cs="宋体"/>
                <w:szCs w:val="21"/>
              </w:rPr>
            </w:pPr>
            <w:r>
              <w:rPr>
                <w:rFonts w:hint="eastAsia" w:ascii="宋体" w:hAnsi="宋体" w:cs="宋体"/>
                <w:szCs w:val="21"/>
              </w:rPr>
              <w:t>台</w:t>
            </w:r>
          </w:p>
        </w:tc>
        <w:tc>
          <w:tcPr>
            <w:tcW w:w="384" w:type="pct"/>
            <w:tcBorders>
              <w:bottom w:val="single" w:color="auto" w:sz="4" w:space="0"/>
              <w:right w:val="single" w:color="auto" w:sz="4" w:space="0"/>
            </w:tcBorders>
            <w:vAlign w:val="center"/>
          </w:tcPr>
          <w:p w14:paraId="5CD0860D">
            <w:pPr>
              <w:jc w:val="center"/>
              <w:rPr>
                <w:rFonts w:hint="eastAsia" w:ascii="宋体" w:hAnsi="宋体" w:cs="宋体"/>
                <w:szCs w:val="21"/>
              </w:rPr>
            </w:pPr>
            <w:r>
              <w:rPr>
                <w:rFonts w:hint="eastAsia" w:ascii="宋体" w:hAnsi="宋体" w:cs="宋体"/>
                <w:szCs w:val="21"/>
              </w:rPr>
              <w:t>6</w:t>
            </w:r>
          </w:p>
        </w:tc>
        <w:tc>
          <w:tcPr>
            <w:tcW w:w="785" w:type="pct"/>
            <w:tcBorders>
              <w:left w:val="single" w:color="auto" w:sz="4" w:space="0"/>
              <w:bottom w:val="single" w:color="auto" w:sz="4" w:space="0"/>
            </w:tcBorders>
            <w:vAlign w:val="center"/>
          </w:tcPr>
          <w:p w14:paraId="46B37E28">
            <w:pPr>
              <w:jc w:val="center"/>
              <w:rPr>
                <w:rFonts w:hint="eastAsia" w:ascii="宋体" w:hAnsi="宋体" w:cs="宋体"/>
                <w:szCs w:val="21"/>
              </w:rPr>
            </w:pPr>
            <w:r>
              <w:rPr>
                <w:rFonts w:hint="eastAsia" w:ascii="宋体" w:hAnsi="宋体" w:cs="宋体"/>
                <w:szCs w:val="21"/>
              </w:rPr>
              <w:t>/</w:t>
            </w:r>
          </w:p>
        </w:tc>
        <w:tc>
          <w:tcPr>
            <w:tcW w:w="935" w:type="pct"/>
            <w:tcBorders>
              <w:bottom w:val="single" w:color="auto" w:sz="4" w:space="0"/>
            </w:tcBorders>
            <w:vAlign w:val="center"/>
          </w:tcPr>
          <w:p w14:paraId="6EFBB1C6">
            <w:pPr>
              <w:spacing w:line="180" w:lineRule="exact"/>
            </w:pPr>
            <w:r>
              <w:rPr>
                <w:rFonts w:hint="eastAsia"/>
              </w:rPr>
              <w:t>8000</w:t>
            </w:r>
          </w:p>
        </w:tc>
      </w:tr>
      <w:tr w14:paraId="662ED2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000" w:type="pct"/>
            <w:gridSpan w:val="7"/>
            <w:tcBorders>
              <w:top w:val="single" w:color="auto" w:sz="4" w:space="0"/>
              <w:left w:val="single" w:color="auto" w:sz="4" w:space="0"/>
              <w:bottom w:val="single" w:color="auto" w:sz="4" w:space="0"/>
            </w:tcBorders>
            <w:vAlign w:val="center"/>
          </w:tcPr>
          <w:p w14:paraId="416BF8A6">
            <w:pPr>
              <w:rPr>
                <w:rFonts w:hint="eastAsia" w:ascii="宋体" w:hAnsi="宋体" w:cs="宋体"/>
                <w:szCs w:val="21"/>
              </w:rPr>
            </w:pPr>
          </w:p>
        </w:tc>
      </w:tr>
      <w:tr w14:paraId="2AD6B0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362" w:type="pct"/>
            <w:tcBorders>
              <w:top w:val="single" w:color="auto" w:sz="4" w:space="0"/>
              <w:left w:val="single" w:color="auto" w:sz="4" w:space="0"/>
              <w:bottom w:val="single" w:color="auto" w:sz="4" w:space="0"/>
            </w:tcBorders>
            <w:vAlign w:val="center"/>
          </w:tcPr>
          <w:p w14:paraId="2D40B294">
            <w:pPr>
              <w:jc w:val="center"/>
              <w:rPr>
                <w:rFonts w:hint="eastAsia" w:ascii="宋体" w:hAnsi="宋体" w:cs="宋体"/>
                <w:szCs w:val="21"/>
              </w:rPr>
            </w:pPr>
            <w:r>
              <w:rPr>
                <w:rFonts w:hint="eastAsia" w:ascii="宋体" w:hAnsi="宋体" w:cs="宋体"/>
                <w:szCs w:val="21"/>
              </w:rPr>
              <w:t>资格要求</w:t>
            </w:r>
          </w:p>
        </w:tc>
        <w:tc>
          <w:tcPr>
            <w:tcW w:w="4638" w:type="pct"/>
            <w:gridSpan w:val="6"/>
            <w:tcBorders>
              <w:top w:val="single" w:color="auto" w:sz="4" w:space="0"/>
              <w:left w:val="single" w:color="auto" w:sz="4" w:space="0"/>
              <w:bottom w:val="single" w:color="auto" w:sz="4" w:space="0"/>
            </w:tcBorders>
            <w:vAlign w:val="center"/>
          </w:tcPr>
          <w:p w14:paraId="61AF23C2">
            <w:pPr>
              <w:rPr>
                <w:rFonts w:hint="eastAsia" w:ascii="宋体" w:hAnsi="宋体" w:cs="宋体"/>
                <w:szCs w:val="21"/>
              </w:rPr>
            </w:pPr>
            <w:r>
              <w:rPr>
                <w:rFonts w:hint="eastAsia" w:ascii="宋体" w:hAnsi="宋体" w:cs="宋体"/>
                <w:szCs w:val="21"/>
              </w:rPr>
              <w:t>（一）具有独立承担民事责任的能力：在中华人民共和国境内注册的法人或其他组织或自然人，响应时提交有效的营业执照（或事业法人登记证或身份证等相关证明）副本复印件。分公司响应的，须提供总公司和分公司营业执照副本复印件，总公司出具给分公司的授权书；</w:t>
            </w:r>
          </w:p>
          <w:p w14:paraId="16FBA63E">
            <w:pPr>
              <w:rPr>
                <w:rFonts w:hint="eastAsia" w:ascii="宋体" w:hAnsi="宋体" w:cs="宋体"/>
                <w:szCs w:val="21"/>
              </w:rPr>
            </w:pPr>
            <w:r>
              <w:rPr>
                <w:rFonts w:hint="eastAsia" w:ascii="宋体" w:hAnsi="宋体" w:cs="宋体"/>
                <w:szCs w:val="21"/>
              </w:rPr>
              <w:t>（二）投标人具备合法的经营许可证</w:t>
            </w:r>
          </w:p>
          <w:p w14:paraId="41D88798">
            <w:pPr>
              <w:rPr>
                <w:rFonts w:hint="eastAsia" w:ascii="宋体" w:hAnsi="宋体" w:cs="宋体"/>
                <w:i/>
                <w:iCs/>
                <w:color w:val="EE0000"/>
                <w:szCs w:val="21"/>
              </w:rPr>
            </w:pPr>
            <w:r>
              <w:rPr>
                <w:rFonts w:hint="eastAsia" w:ascii="宋体" w:hAnsi="宋体" w:cs="宋体"/>
                <w:szCs w:val="21"/>
              </w:rPr>
              <w:t>（三）本项目不接受联合体投标。</w:t>
            </w:r>
          </w:p>
        </w:tc>
      </w:tr>
      <w:tr w14:paraId="19077E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362" w:type="pct"/>
            <w:tcBorders>
              <w:top w:val="single" w:color="auto" w:sz="4" w:space="0"/>
              <w:left w:val="single" w:color="auto" w:sz="4" w:space="0"/>
              <w:bottom w:val="single" w:color="auto" w:sz="4" w:space="0"/>
            </w:tcBorders>
            <w:vAlign w:val="center"/>
          </w:tcPr>
          <w:p w14:paraId="094E64B8">
            <w:pPr>
              <w:jc w:val="center"/>
              <w:rPr>
                <w:rFonts w:hint="eastAsia" w:ascii="宋体" w:hAnsi="宋体" w:cs="宋体"/>
                <w:szCs w:val="21"/>
              </w:rPr>
            </w:pPr>
            <w:r>
              <w:rPr>
                <w:rFonts w:hint="eastAsia" w:ascii="宋体" w:hAnsi="宋体" w:cs="宋体"/>
                <w:szCs w:val="21"/>
              </w:rPr>
              <w:t>技术要求</w:t>
            </w:r>
          </w:p>
        </w:tc>
        <w:tc>
          <w:tcPr>
            <w:tcW w:w="4638" w:type="pct"/>
            <w:gridSpan w:val="6"/>
            <w:tcBorders>
              <w:top w:val="single" w:color="auto" w:sz="4" w:space="0"/>
              <w:left w:val="single" w:color="auto" w:sz="4" w:space="0"/>
              <w:bottom w:val="single" w:color="auto" w:sz="4" w:space="0"/>
            </w:tcBorders>
            <w:vAlign w:val="center"/>
          </w:tcPr>
          <w:p w14:paraId="3BD7C3FD">
            <w:pPr>
              <w:rPr>
                <w:rFonts w:hint="eastAsia" w:ascii="宋体" w:hAnsi="宋体" w:cs="宋体"/>
                <w:b/>
                <w:bCs/>
                <w:szCs w:val="21"/>
              </w:rPr>
            </w:pPr>
            <w:r>
              <w:rPr>
                <w:rFonts w:hint="eastAsia" w:ascii="宋体" w:hAnsi="宋体" w:cs="宋体"/>
                <w:b/>
                <w:bCs/>
                <w:szCs w:val="21"/>
              </w:rPr>
              <w:t>一、技术参数</w:t>
            </w:r>
          </w:p>
          <w:p w14:paraId="2A628946">
            <w:pPr>
              <w:rPr>
                <w:rFonts w:hint="eastAsia" w:ascii="宋体" w:hAnsi="宋体" w:cs="宋体"/>
                <w:b/>
                <w:bCs/>
                <w:szCs w:val="21"/>
              </w:rPr>
            </w:pPr>
            <w:r>
              <w:rPr>
                <w:rFonts w:hint="eastAsia" w:ascii="宋体" w:hAnsi="宋体" w:cs="宋体"/>
                <w:b/>
                <w:bCs/>
                <w:szCs w:val="21"/>
              </w:rPr>
              <w:t>（一）台式计算机</w:t>
            </w:r>
          </w:p>
          <w:p w14:paraId="19043631">
            <w:pPr>
              <w:rPr>
                <w:rFonts w:hint="eastAsia" w:ascii="宋体" w:hAnsi="宋体" w:cs="宋体"/>
                <w:szCs w:val="21"/>
              </w:rPr>
            </w:pPr>
            <w:r>
              <w:rPr>
                <w:rFonts w:hint="eastAsia" w:ascii="宋体" w:hAnsi="宋体" w:cs="宋体"/>
                <w:szCs w:val="21"/>
              </w:rPr>
              <w:t>★1、针对此项目的原厂原配产品，主机序列号可在原厂官网查询配置（不接受改配，否则不给予验收）；</w:t>
            </w:r>
          </w:p>
          <w:p w14:paraId="519FBC28">
            <w:pPr>
              <w:rPr>
                <w:rFonts w:hint="eastAsia" w:ascii="宋体" w:hAnsi="宋体" w:cs="宋体"/>
                <w:szCs w:val="21"/>
              </w:rPr>
            </w:pPr>
            <w:r>
              <w:rPr>
                <w:rFonts w:hint="eastAsia" w:ascii="宋体" w:hAnsi="宋体" w:cs="宋体"/>
                <w:szCs w:val="21"/>
              </w:rPr>
              <w:t>★2、中央处理器：基础主频≥2.0GHz，最高可睿频至4.4GHz，≥6核心，≥12线程；基础功耗：≥65W；内存：≥8G DDR5 5600；硬盘：512GB  Nvme M.2 SSD；显卡：集成显卡；操作系统：原装Windows11 64位正版操作系统；</w:t>
            </w:r>
          </w:p>
          <w:p w14:paraId="780239DF">
            <w:pPr>
              <w:rPr>
                <w:rFonts w:hint="eastAsia" w:ascii="宋体" w:hAnsi="宋体" w:cs="宋体"/>
                <w:szCs w:val="21"/>
              </w:rPr>
            </w:pPr>
            <w:r>
              <w:rPr>
                <w:rFonts w:hint="eastAsia" w:ascii="宋体" w:hAnsi="宋体" w:cs="宋体"/>
                <w:szCs w:val="21"/>
              </w:rPr>
              <w:t>★3、主板芯片：≥B760芯片组，单路供电，100%全固态电容；≥4个SATA接口，≥1个PCI，≥2个PCIe*1, ≥1个PCIe*16，≥3个M.2插槽；</w:t>
            </w:r>
          </w:p>
          <w:p w14:paraId="08731D12">
            <w:pPr>
              <w:rPr>
                <w:rFonts w:hint="eastAsia" w:ascii="宋体" w:hAnsi="宋体" w:cs="宋体"/>
                <w:szCs w:val="21"/>
              </w:rPr>
            </w:pPr>
            <w:r>
              <w:rPr>
                <w:rFonts w:hint="eastAsia" w:ascii="宋体" w:hAnsi="宋体" w:cs="宋体"/>
                <w:szCs w:val="21"/>
              </w:rPr>
              <w:t>▲4、主板原生I\O接口：USB 接口≥10个（前置至少4个USB3.2 Type-A）；≥1个VGA，≥1个HDMI，≥1个DP，≥5个音频接口，≥1个串口</w:t>
            </w:r>
          </w:p>
          <w:p w14:paraId="432EF529">
            <w:pPr>
              <w:rPr>
                <w:rFonts w:hint="eastAsia" w:ascii="宋体" w:hAnsi="宋体" w:cs="宋体"/>
                <w:szCs w:val="21"/>
              </w:rPr>
            </w:pPr>
            <w:r>
              <w:rPr>
                <w:rFonts w:hint="eastAsia" w:ascii="宋体" w:hAnsi="宋体" w:cs="宋体"/>
                <w:szCs w:val="21"/>
              </w:rPr>
              <w:t>▲5、机箱：≥15升，前面板有可拆洗防尘罩，后面板有串并口专用扩展位，顶置提手、开关键、Reset键及资产管理标签位；机箱标配键盘、鼠标安全锁扣，防止基础配件丢失；支持硬盘、Slim ODD设备及PCI扩展卡免工具拆卸；</w:t>
            </w:r>
          </w:p>
          <w:p w14:paraId="7B7FF384">
            <w:pPr>
              <w:rPr>
                <w:rFonts w:hint="eastAsia" w:ascii="宋体" w:hAnsi="宋体" w:cs="宋体"/>
                <w:szCs w:val="21"/>
              </w:rPr>
            </w:pPr>
            <w:r>
              <w:rPr>
                <w:rFonts w:hint="eastAsia" w:ascii="宋体" w:hAnsi="宋体" w:cs="宋体"/>
                <w:szCs w:val="21"/>
              </w:rPr>
              <w:t>▲6、显示器与主机同品牌：≥23.8英寸液晶显示屏，灰阶响应时间≤5ms，刷新率≥75Hz、亮度≥250cd/m² 、广色域≥95%SRGB、可视角度≥178°，具备VGA+HDMI双接口；</w:t>
            </w:r>
          </w:p>
          <w:p w14:paraId="76AE160C">
            <w:pPr>
              <w:rPr>
                <w:rFonts w:hint="eastAsia" w:ascii="宋体" w:hAnsi="宋体" w:cs="宋体"/>
                <w:szCs w:val="21"/>
              </w:rPr>
            </w:pPr>
            <w:r>
              <w:rPr>
                <w:rFonts w:hint="eastAsia" w:ascii="宋体" w:hAnsi="宋体" w:cs="宋体"/>
                <w:szCs w:val="21"/>
              </w:rPr>
              <w:t>7、提供与主机同品牌的有线键鼠；</w:t>
            </w:r>
          </w:p>
          <w:p w14:paraId="0F90B762">
            <w:pPr>
              <w:rPr>
                <w:rFonts w:hint="eastAsia" w:ascii="宋体" w:hAnsi="宋体" w:cs="宋体"/>
                <w:szCs w:val="21"/>
              </w:rPr>
            </w:pPr>
            <w:r>
              <w:rPr>
                <w:rFonts w:hint="eastAsia" w:ascii="宋体" w:hAnsi="宋体" w:cs="宋体"/>
                <w:szCs w:val="21"/>
              </w:rPr>
              <w:t>8、供应商所响应产品平均无故障时间（MTBF）≥100万小时;（供应商可提供承诺函承诺合同签订前提供《产品可靠性检验证书》或在响应文件中提供该证书复印件并加盖电子签章）</w:t>
            </w:r>
          </w:p>
          <w:p w14:paraId="3DD7E92B">
            <w:pPr>
              <w:rPr>
                <w:rFonts w:hint="eastAsia" w:ascii="宋体" w:hAnsi="宋体" w:cs="宋体"/>
                <w:szCs w:val="21"/>
              </w:rPr>
            </w:pPr>
            <w:r>
              <w:rPr>
                <w:rFonts w:hint="eastAsia" w:ascii="宋体" w:hAnsi="宋体" w:cs="宋体"/>
                <w:szCs w:val="21"/>
              </w:rPr>
              <w:t>9、提供同品牌终端管理软件官网免费下载链接，可实现：（1）硬件主要参数检测（包括CPU、内存、硬盘、显卡等），便于硬件审计；（2）系统垃圾清理（包括浏览器缓存、临时文件、回收站等）；（3）硬盘清理程序；（4）原厂BIOS及应用程序下载链接；（5）网络诊断，便于网络设置（包括接入点、IP、网关、掩码等），（6）自动识别品牌型号，自动识别序列号，方便资产维护；</w:t>
            </w:r>
          </w:p>
          <w:p w14:paraId="1F18E3CD">
            <w:pPr>
              <w:rPr>
                <w:rFonts w:hint="eastAsia" w:ascii="宋体" w:hAnsi="宋体" w:cs="宋体"/>
                <w:szCs w:val="21"/>
              </w:rPr>
            </w:pPr>
            <w:r>
              <w:rPr>
                <w:rFonts w:hint="eastAsia" w:ascii="宋体" w:hAnsi="宋体" w:cs="宋体"/>
                <w:szCs w:val="21"/>
              </w:rPr>
              <w:t>10、提供同品牌安全管理软件，具有文件加密及解密、文件粉碎功能，只需要拖放相关文件或单击“添加文件或文件夹”图标添加相关文件即可实现快速加密及解密、文件粉碎，保障个人数据安全：（提供此功能界面截图证明并加盖电子签章）</w:t>
            </w:r>
          </w:p>
          <w:p w14:paraId="5DD49310">
            <w:pPr>
              <w:rPr>
                <w:rFonts w:hint="eastAsia" w:ascii="宋体" w:hAnsi="宋体" w:cs="宋体"/>
                <w:szCs w:val="21"/>
              </w:rPr>
            </w:pPr>
            <w:r>
              <w:rPr>
                <w:rFonts w:hint="eastAsia" w:ascii="宋体" w:hAnsi="宋体" w:cs="宋体"/>
                <w:szCs w:val="21"/>
              </w:rPr>
              <w:t>11、其他要求：除以上技术参数与性能指标外，投标人所提供台式计算机还应满足《财政部工业和信息化部关于印发&lt;关于印发《台式计算机政府采购需求标准（2023年版）的通知》（财库〔2023〕29号）的附件“台式计算机政府采购需求标准（2023年版）”中全部加*指标要求（CPU 、操作系统符合安全可靠测评、机械硬盘除外）。（说明：投标人在响应文件中提供承诺函，格式自拟）</w:t>
            </w:r>
          </w:p>
          <w:p w14:paraId="7762E3A6">
            <w:pPr>
              <w:rPr>
                <w:rFonts w:hint="eastAsia" w:ascii="宋体" w:hAnsi="宋体" w:cs="宋体"/>
                <w:b/>
                <w:bCs/>
                <w:szCs w:val="21"/>
              </w:rPr>
            </w:pPr>
            <w:r>
              <w:rPr>
                <w:rFonts w:hint="eastAsia" w:ascii="宋体" w:hAnsi="宋体" w:cs="宋体"/>
                <w:b/>
                <w:bCs/>
                <w:szCs w:val="21"/>
              </w:rPr>
              <w:t>（二）打印机</w:t>
            </w:r>
          </w:p>
          <w:p w14:paraId="52F4150E">
            <w:pPr>
              <w:rPr>
                <w:rFonts w:hint="eastAsia" w:ascii="宋体" w:hAnsi="宋体" w:cs="宋体"/>
                <w:szCs w:val="21"/>
              </w:rPr>
            </w:pPr>
            <w:r>
              <w:rPr>
                <w:rFonts w:hint="eastAsia" w:ascii="宋体" w:hAnsi="宋体" w:cs="宋体"/>
                <w:szCs w:val="21"/>
              </w:rPr>
              <w:t>★1、黑白激光打印机；最大打印幅面 A4；</w:t>
            </w:r>
          </w:p>
          <w:p w14:paraId="02322E52">
            <w:pPr>
              <w:rPr>
                <w:rFonts w:hint="eastAsia" w:ascii="宋体" w:hAnsi="宋体" w:cs="宋体"/>
                <w:szCs w:val="21"/>
              </w:rPr>
            </w:pPr>
            <w:r>
              <w:rPr>
                <w:rFonts w:hint="eastAsia" w:ascii="宋体" w:hAnsi="宋体" w:cs="宋体"/>
                <w:szCs w:val="21"/>
              </w:rPr>
              <w:t>▲2、最高分辨率 600×600×2dpi(有效输出1200dpi)；黑白打印速度 18ppm；首页打印时间 8.5秒；</w:t>
            </w:r>
          </w:p>
          <w:p w14:paraId="3E787293">
            <w:pPr>
              <w:rPr>
                <w:rFonts w:hint="eastAsia" w:ascii="宋体" w:hAnsi="宋体" w:cs="宋体"/>
                <w:szCs w:val="21"/>
              </w:rPr>
            </w:pPr>
            <w:r>
              <w:rPr>
                <w:rFonts w:hint="eastAsia" w:ascii="宋体" w:hAnsi="宋体" w:cs="宋体"/>
                <w:szCs w:val="21"/>
              </w:rPr>
              <w:t>3、耗材类型 鼓粉一体；硒鼓型号 HP 88号（CC388A）；硒鼓寿命 标配：1500页；</w:t>
            </w:r>
          </w:p>
          <w:p w14:paraId="2F59491C">
            <w:pPr>
              <w:rPr>
                <w:rFonts w:hint="eastAsia" w:ascii="宋体" w:hAnsi="宋体" w:cs="宋体"/>
                <w:szCs w:val="21"/>
              </w:rPr>
            </w:pPr>
            <w:r>
              <w:rPr>
                <w:rFonts w:hint="eastAsia" w:ascii="宋体" w:hAnsi="宋体" w:cs="宋体"/>
                <w:szCs w:val="21"/>
              </w:rPr>
              <w:t>4、介质类型 纸张（激光打印纸，普通纸）介质尺寸 A4，A5，A6，B5，明信片，信封(C5，DL，B5)；150页进纸盒：147×211-216×356mm；</w:t>
            </w:r>
          </w:p>
          <w:p w14:paraId="47F25C10">
            <w:pPr>
              <w:rPr>
                <w:rFonts w:hint="eastAsia" w:ascii="宋体" w:hAnsi="宋体" w:cs="宋体"/>
                <w:szCs w:val="21"/>
              </w:rPr>
            </w:pPr>
            <w:r>
              <w:rPr>
                <w:rFonts w:hint="eastAsia" w:ascii="宋体" w:hAnsi="宋体" w:cs="宋体"/>
                <w:szCs w:val="21"/>
              </w:rPr>
              <w:t>5、进纸盒容量 标配：150页；</w:t>
            </w:r>
          </w:p>
          <w:p w14:paraId="66D7C582">
            <w:pPr>
              <w:rPr>
                <w:rFonts w:hint="eastAsia" w:ascii="宋体" w:hAnsi="宋体" w:cs="宋体"/>
                <w:szCs w:val="21"/>
              </w:rPr>
            </w:pPr>
            <w:r>
              <w:rPr>
                <w:rFonts w:hint="eastAsia" w:ascii="宋体" w:hAnsi="宋体" w:cs="宋体"/>
                <w:szCs w:val="21"/>
              </w:rPr>
              <w:t>6、其他：双面打印 手动；网络功能 不支持网络打印；月打印负荷 5000页。</w:t>
            </w:r>
          </w:p>
          <w:p w14:paraId="4D6E7BFF">
            <w:pPr>
              <w:rPr>
                <w:rFonts w:hint="eastAsia" w:ascii="宋体" w:hAnsi="宋体" w:cs="宋体"/>
                <w:szCs w:val="21"/>
              </w:rPr>
            </w:pPr>
          </w:p>
          <w:p w14:paraId="5EFD7A39">
            <w:pPr>
              <w:rPr>
                <w:rFonts w:hint="eastAsia" w:ascii="宋体" w:hAnsi="宋体" w:cs="宋体"/>
                <w:b/>
                <w:bCs/>
                <w:szCs w:val="21"/>
              </w:rPr>
            </w:pPr>
            <w:r>
              <w:rPr>
                <w:rFonts w:hint="eastAsia" w:ascii="宋体" w:hAnsi="宋体" w:cs="宋体"/>
                <w:b/>
                <w:bCs/>
                <w:szCs w:val="21"/>
              </w:rPr>
              <w:t>二、其他要求</w:t>
            </w:r>
          </w:p>
          <w:p w14:paraId="3D46D0EC">
            <w:pPr>
              <w:rPr>
                <w:rFonts w:hint="eastAsia" w:ascii="宋体" w:hAnsi="宋体" w:cs="宋体"/>
                <w:szCs w:val="21"/>
              </w:rPr>
            </w:pPr>
            <w:r>
              <w:rPr>
                <w:rFonts w:hint="eastAsia" w:ascii="宋体" w:hAnsi="宋体" w:cs="宋体"/>
                <w:szCs w:val="21"/>
              </w:rPr>
              <w:t>1.安装调试：</w:t>
            </w:r>
          </w:p>
          <w:p w14:paraId="60C9BD02">
            <w:pPr>
              <w:rPr>
                <w:rFonts w:hint="eastAsia" w:ascii="宋体" w:hAnsi="宋体" w:cs="宋体"/>
                <w:szCs w:val="21"/>
              </w:rPr>
            </w:pPr>
            <w:r>
              <w:rPr>
                <w:rFonts w:hint="eastAsia" w:ascii="宋体" w:hAnsi="宋体" w:cs="宋体"/>
                <w:szCs w:val="21"/>
              </w:rPr>
              <w:t>（1）中标人负责产品安装、调试直至采购人能正常使用，所需的一切材料、备件、专业工具均由中标人负责提供（医院安装方式为集中供货，分散零星安装；各部门有需要使用时联系投标人随时提供上门分散零星安装服务）。</w:t>
            </w:r>
          </w:p>
          <w:p w14:paraId="3664D64F">
            <w:pPr>
              <w:rPr>
                <w:rFonts w:hint="eastAsia" w:ascii="宋体" w:hAnsi="宋体" w:cs="宋体"/>
                <w:szCs w:val="21"/>
              </w:rPr>
            </w:pPr>
            <w:r>
              <w:rPr>
                <w:rFonts w:hint="eastAsia" w:ascii="宋体" w:hAnsi="宋体" w:cs="宋体"/>
                <w:szCs w:val="21"/>
              </w:rPr>
              <w:t>（2）必须保证提供的货物（包括零部件）是全新的、未使用过的，具有稳定性、可靠性、安全性，并完全符合国家、行业规定的质量、规格和性能要求等技术标准。</w:t>
            </w:r>
          </w:p>
          <w:p w14:paraId="557E73B5">
            <w:pPr>
              <w:rPr>
                <w:rFonts w:hint="eastAsia" w:ascii="宋体" w:hAnsi="宋体" w:cs="宋体"/>
                <w:szCs w:val="21"/>
              </w:rPr>
            </w:pPr>
            <w:r>
              <w:rPr>
                <w:rFonts w:hint="eastAsia" w:ascii="宋体" w:hAnsi="宋体" w:cs="宋体"/>
                <w:szCs w:val="21"/>
              </w:rPr>
              <w:t>（3）为保证使用效果，以上所有软硬件产品在“技术参数要求”中的所有功能参数，在交付使用前提供功能性测试，测试不通过视为虚假应标，将予以退货处理，并按规定上报财政部门。</w:t>
            </w:r>
          </w:p>
          <w:p w14:paraId="6F29CCE1">
            <w:pPr>
              <w:rPr>
                <w:rFonts w:hint="eastAsia" w:ascii="宋体" w:hAnsi="宋体" w:cs="宋体"/>
                <w:szCs w:val="21"/>
              </w:rPr>
            </w:pPr>
            <w:r>
              <w:rPr>
                <w:rFonts w:hint="eastAsia" w:ascii="宋体" w:hAnsi="宋体" w:cs="宋体"/>
                <w:szCs w:val="21"/>
              </w:rPr>
              <w:t>（4）为保证产品质量，供货时中标人须向采购人提供该批次货物采购文件要求的检测报告原件、证书原件或截图；如未提供或与响应文件中提供的检测报告复印件、证书复印件或截图不一致的视为虚假应标，将予以退货处理，并按规定上报财政部门。</w:t>
            </w:r>
          </w:p>
          <w:p w14:paraId="31A5C3AF">
            <w:pPr>
              <w:rPr>
                <w:rFonts w:hint="eastAsia" w:ascii="宋体" w:hAnsi="宋体" w:cs="宋体"/>
                <w:szCs w:val="21"/>
              </w:rPr>
            </w:pPr>
            <w:r>
              <w:rPr>
                <w:rFonts w:hint="eastAsia" w:ascii="宋体" w:hAnsi="宋体" w:cs="宋体"/>
                <w:szCs w:val="21"/>
              </w:rPr>
              <w:t>（5）为保证使用效果，设备首次安装调试需原厂工程师上门安装调试。</w:t>
            </w:r>
          </w:p>
          <w:p w14:paraId="3F50D270">
            <w:pPr>
              <w:rPr>
                <w:rFonts w:hint="eastAsia" w:ascii="宋体" w:hAnsi="宋体" w:cs="宋体"/>
                <w:szCs w:val="21"/>
              </w:rPr>
            </w:pPr>
            <w:r>
              <w:rPr>
                <w:rFonts w:hint="eastAsia" w:ascii="宋体" w:hAnsi="宋体" w:cs="宋体"/>
                <w:szCs w:val="21"/>
              </w:rPr>
              <w:t>2.包装要求</w:t>
            </w:r>
          </w:p>
          <w:p w14:paraId="1AA5DF91">
            <w:pPr>
              <w:rPr>
                <w:rFonts w:hint="eastAsia" w:ascii="宋体" w:hAnsi="宋体" w:cs="宋体"/>
                <w:szCs w:val="21"/>
              </w:rPr>
            </w:pPr>
            <w:r>
              <w:rPr>
                <w:rFonts w:hint="eastAsia" w:ascii="宋体" w:hAnsi="宋体" w:cs="宋体"/>
                <w:szCs w:val="21"/>
              </w:rPr>
              <w:t>投标人在提供产品及相关快递服务时，涉及包装的，具体包装要求需严格按照“商品包装政府采购需求标准（试行）”及“快递包装政府采购需求标准（试行）”执行。</w:t>
            </w:r>
          </w:p>
          <w:p w14:paraId="3D87AD13">
            <w:pPr>
              <w:rPr>
                <w:rFonts w:hint="eastAsia" w:ascii="宋体" w:hAnsi="宋体" w:cs="宋体"/>
                <w:i/>
                <w:iCs/>
                <w:szCs w:val="21"/>
              </w:rPr>
            </w:pPr>
            <w:r>
              <w:rPr>
                <w:rFonts w:hint="eastAsia" w:ascii="宋体" w:hAnsi="宋体" w:cs="宋体"/>
                <w:szCs w:val="21"/>
              </w:rPr>
              <w:t>2.2投标人所配送的货物包装均为货物出厂时的原包装，并保证所提供的货物在装卸、运输和仓储过程中有足够的包装保护，防止货物破损、受潮、霉变、被腐蚀、受到冲撞以及其他不可预见的损坏。因包装原因造成的货物损失由投标人自行承担责任。</w:t>
            </w:r>
          </w:p>
        </w:tc>
      </w:tr>
      <w:tr w14:paraId="5206FA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362" w:type="pct"/>
            <w:tcBorders>
              <w:top w:val="single" w:color="auto" w:sz="4" w:space="0"/>
              <w:left w:val="single" w:color="auto" w:sz="4" w:space="0"/>
              <w:bottom w:val="single" w:color="auto" w:sz="4" w:space="0"/>
            </w:tcBorders>
            <w:vAlign w:val="center"/>
          </w:tcPr>
          <w:p w14:paraId="4F9D3FCF">
            <w:pPr>
              <w:jc w:val="center"/>
              <w:rPr>
                <w:rFonts w:hint="eastAsia" w:ascii="宋体" w:hAnsi="宋体" w:cs="宋体"/>
                <w:szCs w:val="21"/>
              </w:rPr>
            </w:pPr>
            <w:r>
              <w:rPr>
                <w:rFonts w:hint="eastAsia" w:ascii="宋体" w:hAnsi="宋体" w:cs="宋体"/>
                <w:szCs w:val="21"/>
              </w:rPr>
              <w:t>商务要求</w:t>
            </w:r>
          </w:p>
        </w:tc>
        <w:tc>
          <w:tcPr>
            <w:tcW w:w="4638" w:type="pct"/>
            <w:gridSpan w:val="6"/>
            <w:tcBorders>
              <w:top w:val="single" w:color="auto" w:sz="4" w:space="0"/>
              <w:left w:val="single" w:color="auto" w:sz="4" w:space="0"/>
              <w:bottom w:val="single" w:color="auto" w:sz="4" w:space="0"/>
            </w:tcBorders>
            <w:vAlign w:val="center"/>
          </w:tcPr>
          <w:p w14:paraId="563818D5">
            <w:pPr>
              <w:rPr>
                <w:rFonts w:hint="eastAsia" w:ascii="宋体" w:hAnsi="宋体" w:cs="宋体"/>
                <w:szCs w:val="21"/>
              </w:rPr>
            </w:pPr>
            <w:r>
              <w:rPr>
                <w:rFonts w:hint="eastAsia" w:ascii="宋体" w:hAnsi="宋体" w:cs="宋体"/>
                <w:b/>
                <w:bCs/>
                <w:szCs w:val="21"/>
              </w:rPr>
              <w:t>一、交货时间</w:t>
            </w:r>
            <w:r>
              <w:rPr>
                <w:rFonts w:hint="eastAsia" w:ascii="宋体" w:hAnsi="宋体" w:cs="宋体"/>
                <w:szCs w:val="21"/>
              </w:rPr>
              <w:t>：签订合同后1个月内按采购人要求送到客户指定位置；完成交货、安装、调试。</w:t>
            </w:r>
          </w:p>
          <w:p w14:paraId="79AD578B">
            <w:pPr>
              <w:rPr>
                <w:rFonts w:hint="eastAsia" w:ascii="宋体" w:hAnsi="宋体" w:cs="宋体"/>
                <w:szCs w:val="21"/>
              </w:rPr>
            </w:pPr>
            <w:r>
              <w:rPr>
                <w:rFonts w:hint="eastAsia" w:ascii="宋体" w:hAnsi="宋体" w:cs="宋体"/>
                <w:b/>
                <w:bCs/>
                <w:szCs w:val="21"/>
              </w:rPr>
              <w:t>二、交货地点</w:t>
            </w:r>
            <w:r>
              <w:rPr>
                <w:rFonts w:hint="eastAsia" w:ascii="宋体" w:hAnsi="宋体" w:cs="宋体"/>
                <w:szCs w:val="21"/>
              </w:rPr>
              <w:t>：三亚市中西医结合医院（广州中医药大学附属粤海三亚医院）。</w:t>
            </w:r>
          </w:p>
          <w:p w14:paraId="77529CCA">
            <w:pPr>
              <w:rPr>
                <w:rFonts w:hint="eastAsia" w:ascii="宋体" w:hAnsi="宋体" w:cs="宋体"/>
                <w:szCs w:val="21"/>
              </w:rPr>
            </w:pPr>
            <w:r>
              <w:rPr>
                <w:rFonts w:hint="eastAsia" w:ascii="宋体" w:hAnsi="宋体" w:cs="宋体"/>
                <w:b/>
                <w:bCs/>
                <w:szCs w:val="21"/>
              </w:rPr>
              <w:t>三、包装方式及运输</w:t>
            </w:r>
            <w:r>
              <w:rPr>
                <w:rFonts w:hint="eastAsia" w:ascii="宋体" w:hAnsi="宋体" w:cs="宋体"/>
                <w:szCs w:val="21"/>
              </w:rPr>
              <w:t>：涉及的商品包装和快递包装，均应符合《商品包装政府采购需求标准（试行）》《快递包装政府采购需求标准（试行）》的要求，包装应适应于远距离运输、防潮、防震、防锈和防野蛮装卸，以确保货物安全无损运抵指定地点。</w:t>
            </w:r>
          </w:p>
          <w:p w14:paraId="2762910D">
            <w:pPr>
              <w:rPr>
                <w:rFonts w:hint="eastAsia" w:ascii="宋体" w:hAnsi="宋体" w:cs="宋体"/>
                <w:szCs w:val="21"/>
              </w:rPr>
            </w:pPr>
            <w:r>
              <w:rPr>
                <w:rFonts w:hint="eastAsia" w:ascii="宋体" w:hAnsi="宋体" w:cs="宋体"/>
                <w:b/>
                <w:bCs/>
                <w:szCs w:val="21"/>
              </w:rPr>
              <w:t>四、质量保修范围和保修期</w:t>
            </w:r>
            <w:r>
              <w:rPr>
                <w:rFonts w:hint="eastAsia" w:ascii="宋体" w:hAnsi="宋体" w:cs="宋体"/>
                <w:szCs w:val="21"/>
              </w:rPr>
              <w:t>：质保期3年，自采购人验收合格之日起开始计算。</w:t>
            </w:r>
          </w:p>
          <w:p w14:paraId="1A1FD3A4">
            <w:pPr>
              <w:rPr>
                <w:rFonts w:hint="eastAsia" w:ascii="宋体" w:hAnsi="宋体" w:cs="宋体"/>
                <w:szCs w:val="21"/>
              </w:rPr>
            </w:pPr>
            <w:r>
              <w:rPr>
                <w:rFonts w:hint="eastAsia" w:ascii="宋体" w:hAnsi="宋体" w:cs="宋体"/>
                <w:b/>
                <w:bCs/>
                <w:szCs w:val="21"/>
              </w:rPr>
              <w:t>五、违约责任与解决争议的方法</w:t>
            </w:r>
            <w:r>
              <w:rPr>
                <w:rFonts w:hint="eastAsia" w:ascii="宋体" w:hAnsi="宋体" w:cs="宋体"/>
                <w:szCs w:val="21"/>
              </w:rPr>
              <w:t>：（1）投标人交付的设备质量不符合合同规定的，在约定的交货时间内经 1 次调换仍不能达到合同约定的质量要求，不能通过验收的，采购人有权单方面解除合同，剩余合同金额采购人不再支付，采购人有权要求投标人返还已支付的货款。且投标人应当按照合同总价的 10%向采购人支付违约金。 （2）质保期内出现质量问题，经 2 次维修仍不能达到合同约定的质量要求，采购人有权单方面解除合同，并要求退货，要求投标人返还已支付的货款及支付货款对应的利息（其利率按全国银行间同业拆借中心公布的1年期贷款市场报价利率（LPR） 计算），投标人还应当按照合同总价的 10%支付违约金。 （3）投标人逾期交付设备，每逾期一天，须向采购人支付合同总额千分之三的违约金。投标人逾期交货超过60天，采购人有权单方面解除合同，有权要求投标人返还已支付的相应货款。且投标人应当向采购人累计支付违约金。 （4）投标人在安装调试设备过程中以及售后服务等服务过程中，因未按操作规程施工、操作不当、未采取必要的安全防范措施等原因直接或间接造成采购人及第三方人身损害或财产损失的，由投标人承担全部责任。 （5）投标人保证本合同设备的权利无瑕疵，包括设备所有权及知识产权等权利无瑕疵。如任何第三方经法院（或仲裁机构）裁决有权对上述设备主张权利或国家机关依法对设备进行没收查处的，投标人除应向采购人返还已收款项外，还应另按合同总价的 10%向采购人支付违约金并赔偿因此给采购人造成的一切损失。 （6）若采购人单方面解除合同，则解除通知到达投标人时，本合同即解除。若双方协商解除合同的，则应当签订解除协议。 （7）投标人因上述违约行为支付的违约金不足以弥补采购人损失的，还应按采购人实际经济损失足额补足。 （8）投标人擅自变更、中止、终止、解除合同的，应按合同总金额30%支付违约金，同时采购人有权单方解除合同。 （9）投标人拒不提供货物或不履行其主要合同义务的或明示,默示不提供货物的，构成根本性违约，应当向采购人支付合同总金额30%的违约金，同时采购人有权单方面解除本合同。 （10）投标人保证其提供的服务未侵犯第三人之著作权、商标权、专利权等知识产权及肖像权、名誉权、个人信息等其他合法权益，不会侵犯任何第三人的商业秘密或对任何第三人构成不正当竞争，如因此与第三人发生争议、诉讼或仲裁案件，由投标人承担全部责任，并负责赔偿采购人由此而遭受的全部损失。 （11）双方应协商解决，协商不成，提交采购人住所地人民法院管辖。 （12）缔约过失责任： 1、投标人无正当理由未能在规定时间内与采购人签订合同的，需向采购人支付中标（成交）金额20%的赔偿金。赔偿金不足以弥补采购人全部损失的，还应赔偿采购人全部损失； 2、若投标投标人提交的投标(响应)文件存在虚假材料或虚假响应的情况，投标投标人应向采购人支付项目预算总金额30%的赔偿金。</w:t>
            </w:r>
          </w:p>
        </w:tc>
      </w:tr>
      <w:tr w14:paraId="5AB837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65" w:hRule="atLeast"/>
        </w:trPr>
        <w:tc>
          <w:tcPr>
            <w:tcW w:w="362" w:type="pct"/>
            <w:tcBorders>
              <w:top w:val="single" w:color="auto" w:sz="4" w:space="0"/>
              <w:left w:val="single" w:color="auto" w:sz="4" w:space="0"/>
              <w:bottom w:val="single" w:color="auto" w:sz="4" w:space="0"/>
            </w:tcBorders>
            <w:vAlign w:val="center"/>
          </w:tcPr>
          <w:p w14:paraId="70CD2AE6">
            <w:pPr>
              <w:jc w:val="center"/>
              <w:rPr>
                <w:rFonts w:hint="eastAsia" w:ascii="宋体" w:hAnsi="宋体" w:cs="宋体"/>
                <w:szCs w:val="21"/>
              </w:rPr>
            </w:pPr>
            <w:r>
              <w:rPr>
                <w:rFonts w:hint="eastAsia" w:ascii="宋体" w:hAnsi="宋体" w:cs="宋体"/>
                <w:szCs w:val="21"/>
              </w:rPr>
              <w:t>付款方式</w:t>
            </w:r>
          </w:p>
        </w:tc>
        <w:tc>
          <w:tcPr>
            <w:tcW w:w="4638" w:type="pct"/>
            <w:gridSpan w:val="6"/>
            <w:tcBorders>
              <w:top w:val="single" w:color="auto" w:sz="4" w:space="0"/>
              <w:left w:val="single" w:color="auto" w:sz="4" w:space="0"/>
              <w:bottom w:val="single" w:color="auto" w:sz="4" w:space="0"/>
            </w:tcBorders>
            <w:vAlign w:val="center"/>
          </w:tcPr>
          <w:p w14:paraId="575776F3">
            <w:pPr>
              <w:rPr>
                <w:rFonts w:hint="eastAsia" w:ascii="宋体" w:hAnsi="宋体" w:cs="宋体"/>
                <w:szCs w:val="21"/>
              </w:rPr>
            </w:pPr>
            <w:r>
              <w:rPr>
                <w:rFonts w:hint="eastAsia" w:ascii="宋体" w:hAnsi="宋体" w:cs="宋体"/>
                <w:szCs w:val="21"/>
              </w:rPr>
              <w:t>分期付款</w:t>
            </w:r>
          </w:p>
          <w:p w14:paraId="7BD28E7A">
            <w:pPr>
              <w:rPr>
                <w:rFonts w:hint="eastAsia" w:ascii="宋体" w:hAnsi="宋体" w:cs="宋体"/>
                <w:szCs w:val="21"/>
              </w:rPr>
            </w:pPr>
            <w:r>
              <w:rPr>
                <w:rFonts w:hint="eastAsia" w:ascii="宋体" w:hAnsi="宋体" w:cs="宋体"/>
                <w:szCs w:val="21"/>
              </w:rPr>
              <w:t>付款进度安排：</w:t>
            </w:r>
          </w:p>
          <w:p w14:paraId="40403FAF">
            <w:pPr>
              <w:rPr>
                <w:rFonts w:hint="eastAsia" w:ascii="宋体" w:hAnsi="宋体" w:cs="宋体"/>
                <w:szCs w:val="21"/>
              </w:rPr>
            </w:pPr>
            <w:r>
              <w:rPr>
                <w:rFonts w:hint="eastAsia" w:ascii="宋体" w:hAnsi="宋体" w:cs="宋体"/>
                <w:szCs w:val="21"/>
              </w:rPr>
              <w:t>预付款，合同签订生效且投标人向采购人提供相应金额发票后支付预付款。</w:t>
            </w:r>
          </w:p>
          <w:p w14:paraId="6535C44A">
            <w:pPr>
              <w:rPr>
                <w:rFonts w:hint="eastAsia" w:ascii="宋体" w:hAnsi="宋体" w:cs="宋体"/>
                <w:i/>
                <w:iCs/>
                <w:color w:val="EE0000"/>
                <w:szCs w:val="21"/>
              </w:rPr>
            </w:pPr>
            <w:r>
              <w:rPr>
                <w:rFonts w:hint="eastAsia" w:ascii="宋体" w:hAnsi="宋体" w:cs="宋体"/>
                <w:szCs w:val="21"/>
              </w:rPr>
              <w:t>尾款，收到采购人的供货安装要求后，采购人根据中标人实际供货进度并安装验收完成后付尾款。</w:t>
            </w:r>
          </w:p>
        </w:tc>
      </w:tr>
      <w:tr w14:paraId="5E393E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06" w:hRule="atLeast"/>
        </w:trPr>
        <w:tc>
          <w:tcPr>
            <w:tcW w:w="362" w:type="pct"/>
            <w:tcBorders>
              <w:top w:val="single" w:color="auto" w:sz="4" w:space="0"/>
              <w:left w:val="single" w:color="auto" w:sz="4" w:space="0"/>
              <w:bottom w:val="single" w:color="auto" w:sz="4" w:space="0"/>
            </w:tcBorders>
            <w:vAlign w:val="center"/>
          </w:tcPr>
          <w:p w14:paraId="682B9EEF">
            <w:pPr>
              <w:jc w:val="center"/>
              <w:rPr>
                <w:rFonts w:hint="eastAsia" w:ascii="宋体" w:hAnsi="宋体" w:cs="宋体"/>
                <w:szCs w:val="21"/>
              </w:rPr>
            </w:pPr>
            <w:r>
              <w:rPr>
                <w:rFonts w:hint="eastAsia" w:ascii="宋体" w:hAnsi="宋体" w:cs="宋体"/>
                <w:szCs w:val="21"/>
              </w:rPr>
              <w:t>履约验收</w:t>
            </w:r>
          </w:p>
        </w:tc>
        <w:tc>
          <w:tcPr>
            <w:tcW w:w="4638" w:type="pct"/>
            <w:gridSpan w:val="6"/>
            <w:tcBorders>
              <w:top w:val="single" w:color="auto" w:sz="4" w:space="0"/>
              <w:left w:val="single" w:color="auto" w:sz="4" w:space="0"/>
              <w:bottom w:val="single" w:color="auto" w:sz="4" w:space="0"/>
            </w:tcBorders>
            <w:vAlign w:val="center"/>
          </w:tcPr>
          <w:p w14:paraId="784084F2">
            <w:pPr>
              <w:rPr>
                <w:rFonts w:hint="eastAsia" w:ascii="宋体" w:hAnsi="宋体" w:cs="宋体"/>
                <w:szCs w:val="21"/>
              </w:rPr>
            </w:pPr>
            <w:r>
              <w:rPr>
                <w:rFonts w:hint="eastAsia" w:ascii="宋体" w:hAnsi="宋体" w:cs="宋体"/>
                <w:szCs w:val="21"/>
              </w:rPr>
              <w:t>按照《财政部关于进一步加强政府采购需求和履约验收管理的指导意见》(财库〔2016〕205号)以及本项目服务及合同的要求进行验收。</w:t>
            </w:r>
          </w:p>
        </w:tc>
      </w:tr>
      <w:tr w14:paraId="6AF657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69" w:hRule="atLeast"/>
        </w:trPr>
        <w:tc>
          <w:tcPr>
            <w:tcW w:w="362" w:type="pct"/>
            <w:tcBorders>
              <w:top w:val="single" w:color="auto" w:sz="4" w:space="0"/>
              <w:left w:val="single" w:color="auto" w:sz="4" w:space="0"/>
              <w:bottom w:val="single" w:color="auto" w:sz="4" w:space="0"/>
            </w:tcBorders>
            <w:vAlign w:val="center"/>
          </w:tcPr>
          <w:p w14:paraId="550DBE81">
            <w:pPr>
              <w:jc w:val="center"/>
              <w:rPr>
                <w:rFonts w:hint="eastAsia" w:ascii="宋体" w:hAnsi="宋体" w:cs="宋体"/>
                <w:szCs w:val="21"/>
              </w:rPr>
            </w:pPr>
            <w:r>
              <w:rPr>
                <w:rFonts w:hint="eastAsia" w:ascii="宋体" w:hAnsi="宋体" w:cs="宋体"/>
                <w:szCs w:val="21"/>
              </w:rPr>
              <w:t>合同文本</w:t>
            </w:r>
          </w:p>
        </w:tc>
        <w:tc>
          <w:tcPr>
            <w:tcW w:w="4638" w:type="pct"/>
            <w:gridSpan w:val="6"/>
            <w:tcBorders>
              <w:top w:val="single" w:color="auto" w:sz="4" w:space="0"/>
              <w:left w:val="single" w:color="auto" w:sz="4" w:space="0"/>
              <w:bottom w:val="single" w:color="auto" w:sz="4" w:space="0"/>
            </w:tcBorders>
            <w:vAlign w:val="center"/>
          </w:tcPr>
          <w:p w14:paraId="0B522F89">
            <w:pPr>
              <w:rPr>
                <w:rFonts w:hint="eastAsia" w:ascii="宋体" w:hAnsi="宋体" w:cs="宋体"/>
                <w:i/>
                <w:iCs/>
                <w:color w:val="EE0000"/>
                <w:szCs w:val="21"/>
              </w:rPr>
            </w:pPr>
            <w:r>
              <w:rPr>
                <w:rFonts w:hint="eastAsia" w:ascii="宋体" w:hAnsi="宋体" w:cs="宋体"/>
                <w:szCs w:val="21"/>
              </w:rPr>
              <w:t>由中标方拟定合同，需经医院法务审核。</w:t>
            </w:r>
          </w:p>
        </w:tc>
      </w:tr>
      <w:tr w14:paraId="46D9FB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362" w:type="pct"/>
            <w:tcBorders>
              <w:top w:val="single" w:color="auto" w:sz="4" w:space="0"/>
              <w:left w:val="single" w:color="auto" w:sz="4" w:space="0"/>
              <w:bottom w:val="single" w:color="auto" w:sz="4" w:space="0"/>
            </w:tcBorders>
            <w:vAlign w:val="center"/>
          </w:tcPr>
          <w:p w14:paraId="079A47C0">
            <w:pPr>
              <w:jc w:val="center"/>
              <w:rPr>
                <w:rFonts w:hint="eastAsia" w:ascii="宋体" w:hAnsi="宋体" w:cs="宋体"/>
                <w:szCs w:val="21"/>
              </w:rPr>
            </w:pPr>
            <w:r>
              <w:rPr>
                <w:rFonts w:hint="eastAsia" w:ascii="宋体" w:hAnsi="宋体" w:cs="宋体"/>
                <w:szCs w:val="21"/>
              </w:rPr>
              <w:t>采购评审方法</w:t>
            </w:r>
          </w:p>
        </w:tc>
        <w:tc>
          <w:tcPr>
            <w:tcW w:w="4638" w:type="pct"/>
            <w:gridSpan w:val="6"/>
            <w:tcBorders>
              <w:top w:val="single" w:color="auto" w:sz="4" w:space="0"/>
              <w:left w:val="single" w:color="auto" w:sz="4" w:space="0"/>
              <w:bottom w:val="single" w:color="auto" w:sz="4" w:space="0"/>
            </w:tcBorders>
          </w:tcPr>
          <w:p w14:paraId="44BF4520">
            <w:pPr>
              <w:jc w:val="left"/>
              <w:rPr>
                <w:rFonts w:hint="eastAsia" w:ascii="宋体" w:hAnsi="宋体" w:cs="宋体"/>
                <w:szCs w:val="21"/>
              </w:rPr>
            </w:pPr>
            <w:r>
              <w:rPr>
                <w:rFonts w:ascii="Segoe UI Symbol" w:hAnsi="Segoe UI Symbol" w:cs="Segoe UI Symbol"/>
                <w:color w:val="000000"/>
                <w:kern w:val="0"/>
                <w:szCs w:val="21"/>
                <w:lang w:bidi="ar"/>
              </w:rPr>
              <w:t>☑</w:t>
            </w:r>
            <w:r>
              <w:rPr>
                <w:rFonts w:hint="eastAsia" w:ascii="宋体" w:hAnsi="宋体" w:cs="宋体"/>
                <w:szCs w:val="21"/>
              </w:rPr>
              <w:t xml:space="preserve">最低价格法   </w:t>
            </w:r>
            <w:r>
              <w:rPr>
                <w:rFonts w:hint="eastAsia" w:ascii="宋体" w:hAnsi="宋体" w:cs="宋体"/>
                <w:color w:val="000000"/>
                <w:kern w:val="0"/>
                <w:szCs w:val="21"/>
                <w:lang w:bidi="ar"/>
              </w:rPr>
              <w:t>□</w:t>
            </w:r>
            <w:r>
              <w:rPr>
                <w:rFonts w:hint="eastAsia" w:ascii="宋体" w:hAnsi="宋体" w:cs="宋体"/>
                <w:szCs w:val="21"/>
              </w:rPr>
              <w:t xml:space="preserve">记名投票法   </w:t>
            </w:r>
            <w:r>
              <w:rPr>
                <w:rFonts w:hint="eastAsia" w:ascii="宋体" w:hAnsi="宋体" w:cs="宋体"/>
                <w:color w:val="000000"/>
                <w:kern w:val="0"/>
                <w:szCs w:val="21"/>
                <w:lang w:bidi="ar"/>
              </w:rPr>
              <w:t>□</w:t>
            </w:r>
            <w:r>
              <w:rPr>
                <w:rFonts w:hint="eastAsia" w:ascii="宋体" w:hAnsi="宋体" w:cs="宋体"/>
                <w:szCs w:val="21"/>
              </w:rPr>
              <w:t>综合评分法（评审）</w:t>
            </w:r>
          </w:p>
          <w:p w14:paraId="78CBB530">
            <w:pPr>
              <w:jc w:val="left"/>
              <w:rPr>
                <w:rFonts w:hint="eastAsia" w:ascii="宋体" w:hAnsi="宋体" w:cs="宋体"/>
                <w:szCs w:val="21"/>
              </w:rPr>
            </w:pPr>
            <w:r>
              <w:rPr>
                <w:rFonts w:hint="eastAsia" w:ascii="宋体" w:hAnsi="宋体" w:cs="宋体"/>
                <w:szCs w:val="21"/>
              </w:rPr>
              <w:t>最低价格法</w:t>
            </w:r>
          </w:p>
          <w:p w14:paraId="39F2E71A">
            <w:pPr>
              <w:jc w:val="left"/>
              <w:rPr>
                <w:rFonts w:hint="eastAsia" w:ascii="宋体" w:hAnsi="宋体" w:cs="宋体"/>
                <w:szCs w:val="21"/>
              </w:rPr>
            </w:pPr>
            <w:r>
              <w:rPr>
                <w:rFonts w:ascii="宋体" w:hAnsi="宋体" w:cs="宋体"/>
                <w:szCs w:val="21"/>
              </w:rPr>
              <w:t>1.采购评审小组审核是否</w:t>
            </w:r>
            <w:r>
              <w:rPr>
                <w:rFonts w:hint="eastAsia" w:ascii="宋体" w:hAnsi="宋体" w:cs="宋体"/>
                <w:szCs w:val="21"/>
              </w:rPr>
              <w:t>至少3家</w:t>
            </w:r>
            <w:r>
              <w:rPr>
                <w:rFonts w:ascii="宋体" w:hAnsi="宋体" w:cs="宋体"/>
                <w:szCs w:val="21"/>
              </w:rPr>
              <w:t>供应商响应文件</w:t>
            </w:r>
            <w:r>
              <w:rPr>
                <w:rFonts w:hint="eastAsia" w:ascii="宋体" w:hAnsi="宋体" w:cs="宋体"/>
                <w:szCs w:val="21"/>
              </w:rPr>
              <w:t>满足</w:t>
            </w:r>
            <w:r>
              <w:rPr>
                <w:rFonts w:ascii="宋体" w:hAnsi="宋体" w:cs="宋体"/>
                <w:szCs w:val="21"/>
              </w:rPr>
              <w:t>采购需求</w:t>
            </w:r>
            <w:r>
              <w:rPr>
                <w:rFonts w:hint="eastAsia" w:ascii="宋体" w:hAnsi="宋体" w:cs="宋体"/>
                <w:szCs w:val="21"/>
              </w:rPr>
              <w:t>，否则废标</w:t>
            </w:r>
            <w:r>
              <w:rPr>
                <w:rFonts w:ascii="宋体" w:hAnsi="宋体" w:cs="宋体"/>
                <w:szCs w:val="21"/>
              </w:rPr>
              <w:t>。</w:t>
            </w:r>
          </w:p>
          <w:p w14:paraId="3698A33E">
            <w:pPr>
              <w:jc w:val="left"/>
              <w:rPr>
                <w:rFonts w:hint="eastAsia" w:ascii="宋体" w:hAnsi="宋体" w:cs="宋体"/>
                <w:szCs w:val="21"/>
              </w:rPr>
            </w:pPr>
            <w:r>
              <w:rPr>
                <w:rFonts w:ascii="宋体" w:hAnsi="宋体" w:cs="宋体"/>
                <w:szCs w:val="21"/>
              </w:rPr>
              <w:t>2.对于符合采购需求的供应商，采购评审小组按照价格排序。</w:t>
            </w:r>
          </w:p>
          <w:p w14:paraId="18BB505A">
            <w:pPr>
              <w:jc w:val="left"/>
              <w:rPr>
                <w:rFonts w:hint="eastAsia" w:ascii="宋体" w:hAnsi="宋体" w:cs="宋体"/>
                <w:szCs w:val="21"/>
              </w:rPr>
            </w:pPr>
            <w:r>
              <w:rPr>
                <w:rFonts w:ascii="宋体" w:hAnsi="宋体" w:cs="宋体"/>
                <w:szCs w:val="21"/>
              </w:rPr>
              <w:t>3.确定最低价格供应商为成交供应商。</w:t>
            </w:r>
          </w:p>
          <w:p w14:paraId="65064377">
            <w:pPr>
              <w:jc w:val="left"/>
              <w:rPr>
                <w:rFonts w:hint="eastAsia" w:ascii="宋体" w:hAnsi="宋体" w:cs="宋体"/>
                <w:szCs w:val="21"/>
              </w:rPr>
            </w:pPr>
            <w:r>
              <w:rPr>
                <w:rFonts w:ascii="宋体" w:hAnsi="宋体" w:cs="宋体"/>
                <w:szCs w:val="21"/>
              </w:rPr>
              <w:t>4.根据评审情况填写</w:t>
            </w:r>
            <w:r>
              <w:rPr>
                <w:rFonts w:hint="eastAsia" w:ascii="宋体" w:hAnsi="宋体" w:cs="宋体"/>
                <w:szCs w:val="21"/>
              </w:rPr>
              <w:t>医院</w:t>
            </w:r>
            <w:r>
              <w:rPr>
                <w:rFonts w:ascii="宋体" w:hAnsi="宋体" w:cs="宋体"/>
                <w:szCs w:val="21"/>
              </w:rPr>
              <w:t>分散采购记录表，</w:t>
            </w:r>
            <w:r>
              <w:rPr>
                <w:rFonts w:hint="eastAsia" w:ascii="宋体" w:hAnsi="宋体" w:cs="宋体"/>
                <w:szCs w:val="21"/>
              </w:rPr>
              <w:t>所有评审小组成员需在医院</w:t>
            </w:r>
            <w:r>
              <w:rPr>
                <w:rFonts w:ascii="宋体" w:hAnsi="宋体" w:cs="宋体"/>
                <w:szCs w:val="21"/>
              </w:rPr>
              <w:t>分散采购记录表</w:t>
            </w:r>
            <w:r>
              <w:rPr>
                <w:rFonts w:hint="eastAsia" w:ascii="宋体" w:hAnsi="宋体" w:cs="宋体"/>
                <w:szCs w:val="21"/>
              </w:rPr>
              <w:t>及相关评审材料签字，</w:t>
            </w:r>
            <w:r>
              <w:rPr>
                <w:rFonts w:ascii="宋体" w:hAnsi="宋体" w:cs="宋体"/>
                <w:szCs w:val="21"/>
              </w:rPr>
              <w:t>报归口管理部门审核后存档</w:t>
            </w:r>
            <w:r>
              <w:rPr>
                <w:rFonts w:hint="eastAsia" w:ascii="宋体" w:hAnsi="宋体" w:cs="宋体"/>
                <w:szCs w:val="21"/>
              </w:rPr>
              <w:t>。</w:t>
            </w:r>
          </w:p>
          <w:p w14:paraId="4BD85FA4">
            <w:pPr>
              <w:jc w:val="left"/>
              <w:rPr>
                <w:rFonts w:hint="eastAsia" w:ascii="宋体" w:hAnsi="宋体" w:cs="宋体"/>
                <w:i/>
                <w:iCs/>
                <w:color w:val="FF0000"/>
                <w:szCs w:val="21"/>
              </w:rPr>
            </w:pPr>
          </w:p>
        </w:tc>
      </w:tr>
      <w:tr w14:paraId="41F9E5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34" w:hRule="atLeast"/>
        </w:trPr>
        <w:tc>
          <w:tcPr>
            <w:tcW w:w="362" w:type="pct"/>
            <w:tcBorders>
              <w:top w:val="single" w:color="auto" w:sz="4" w:space="0"/>
              <w:left w:val="single" w:color="auto" w:sz="4" w:space="0"/>
              <w:bottom w:val="single" w:color="auto" w:sz="4" w:space="0"/>
            </w:tcBorders>
            <w:vAlign w:val="center"/>
          </w:tcPr>
          <w:p w14:paraId="3386F7EC">
            <w:pPr>
              <w:jc w:val="center"/>
              <w:rPr>
                <w:rFonts w:hint="eastAsia" w:ascii="宋体" w:hAnsi="宋体" w:cs="宋体"/>
                <w:szCs w:val="21"/>
              </w:rPr>
            </w:pPr>
            <w:r>
              <w:rPr>
                <w:rFonts w:hint="eastAsia" w:ascii="宋体" w:hAnsi="宋体" w:cs="宋体"/>
                <w:szCs w:val="21"/>
              </w:rPr>
              <w:t>响应文件编制要求</w:t>
            </w:r>
          </w:p>
          <w:p w14:paraId="5BE1E024">
            <w:pPr>
              <w:jc w:val="center"/>
              <w:rPr>
                <w:rFonts w:hint="eastAsia" w:ascii="宋体" w:hAnsi="宋体" w:cs="宋体"/>
                <w:szCs w:val="21"/>
              </w:rPr>
            </w:pPr>
          </w:p>
        </w:tc>
        <w:tc>
          <w:tcPr>
            <w:tcW w:w="4638" w:type="pct"/>
            <w:gridSpan w:val="6"/>
            <w:tcBorders>
              <w:top w:val="single" w:color="auto" w:sz="4" w:space="0"/>
              <w:left w:val="single" w:color="auto" w:sz="4" w:space="0"/>
              <w:bottom w:val="single" w:color="auto" w:sz="4" w:space="0"/>
            </w:tcBorders>
          </w:tcPr>
          <w:p w14:paraId="0360A2E4">
            <w:pPr>
              <w:jc w:val="left"/>
              <w:rPr>
                <w:rFonts w:hint="eastAsia" w:ascii="宋体" w:hAnsi="宋体" w:cs="宋体"/>
                <w:sz w:val="24"/>
              </w:rPr>
            </w:pPr>
            <w:r>
              <w:rPr>
                <w:rFonts w:ascii="宋体" w:hAnsi="宋体" w:cs="宋体"/>
                <w:sz w:val="24"/>
              </w:rPr>
              <w:t>（一）响应文件编写</w:t>
            </w:r>
          </w:p>
          <w:p w14:paraId="2D55C831">
            <w:pPr>
              <w:jc w:val="left"/>
              <w:rPr>
                <w:rFonts w:hint="eastAsia" w:ascii="宋体" w:hAnsi="宋体" w:cs="宋体"/>
                <w:sz w:val="24"/>
              </w:rPr>
            </w:pPr>
            <w:r>
              <w:rPr>
                <w:rFonts w:ascii="宋体" w:hAnsi="宋体" w:cs="宋体"/>
                <w:sz w:val="24"/>
              </w:rPr>
              <w:t>1.供应商应按</w:t>
            </w:r>
            <w:r>
              <w:rPr>
                <w:rFonts w:hint="eastAsia" w:ascii="宋体" w:hAnsi="宋体" w:cs="宋体"/>
                <w:sz w:val="24"/>
              </w:rPr>
              <w:t>采购需求书及</w:t>
            </w:r>
            <w:r>
              <w:rPr>
                <w:rFonts w:ascii="宋体" w:hAnsi="宋体" w:cs="宋体"/>
                <w:sz w:val="24"/>
              </w:rPr>
              <w:t>响应文件的规定，及附件要求的内容和格式完整地填写和提供资料，并保证所提供的全部资料的真实性。</w:t>
            </w:r>
          </w:p>
          <w:p w14:paraId="4EEDBE97">
            <w:pPr>
              <w:jc w:val="left"/>
              <w:rPr>
                <w:rFonts w:hint="eastAsia" w:ascii="宋体" w:hAnsi="宋体" w:cs="宋体"/>
                <w:sz w:val="24"/>
              </w:rPr>
            </w:pPr>
            <w:r>
              <w:rPr>
                <w:rFonts w:ascii="宋体" w:hAnsi="宋体" w:cs="宋体"/>
                <w:sz w:val="24"/>
              </w:rPr>
              <w:t>2.供应商应当按照</w:t>
            </w:r>
            <w:r>
              <w:rPr>
                <w:rFonts w:hint="eastAsia" w:ascii="宋体" w:hAnsi="宋体" w:cs="宋体"/>
                <w:sz w:val="24"/>
              </w:rPr>
              <w:t>采购需求书及</w:t>
            </w:r>
            <w:r>
              <w:rPr>
                <w:rFonts w:ascii="宋体" w:hAnsi="宋体" w:cs="宋体"/>
                <w:sz w:val="24"/>
              </w:rPr>
              <w:t>响应文件要求编制响应文件，并根据自己的商务能力、技术水平等对</w:t>
            </w:r>
            <w:r>
              <w:rPr>
                <w:rFonts w:hint="eastAsia" w:ascii="宋体" w:hAnsi="宋体" w:cs="宋体"/>
                <w:sz w:val="24"/>
              </w:rPr>
              <w:t>需求书</w:t>
            </w:r>
            <w:r>
              <w:rPr>
                <w:rFonts w:ascii="宋体" w:hAnsi="宋体" w:cs="宋体"/>
                <w:sz w:val="24"/>
              </w:rPr>
              <w:t>提出的要求和条件作出真实的响应。</w:t>
            </w:r>
          </w:p>
          <w:p w14:paraId="11B588F1">
            <w:pPr>
              <w:jc w:val="left"/>
              <w:rPr>
                <w:rFonts w:hint="eastAsia" w:ascii="宋体" w:hAnsi="宋体" w:cs="宋体"/>
                <w:sz w:val="24"/>
              </w:rPr>
            </w:pPr>
            <w:r>
              <w:rPr>
                <w:rFonts w:ascii="宋体" w:hAnsi="宋体" w:cs="宋体"/>
                <w:sz w:val="24"/>
              </w:rPr>
              <w:t>3.报名供应商应提交响应文件正本</w:t>
            </w:r>
            <w:r>
              <w:rPr>
                <w:rFonts w:hint="eastAsia" w:ascii="宋体" w:hAnsi="宋体" w:cs="宋体"/>
                <w:sz w:val="24"/>
                <w:u w:val="single"/>
              </w:rPr>
              <w:t>1</w:t>
            </w:r>
            <w:r>
              <w:rPr>
                <w:rFonts w:ascii="宋体" w:hAnsi="宋体" w:cs="宋体"/>
                <w:sz w:val="24"/>
              </w:rPr>
              <w:t>份和副本</w:t>
            </w:r>
            <w:r>
              <w:rPr>
                <w:rFonts w:hint="eastAsia" w:ascii="宋体" w:hAnsi="宋体" w:cs="宋体"/>
                <w:sz w:val="24"/>
                <w:u w:val="single"/>
              </w:rPr>
              <w:t>2</w:t>
            </w:r>
            <w:r>
              <w:rPr>
                <w:rFonts w:ascii="宋体" w:hAnsi="宋体" w:cs="宋体"/>
                <w:sz w:val="24"/>
              </w:rPr>
              <w:t>份，每份响应文件须清楚地标明“正本”或“副本”。一旦正本和副本不符，以正本为准；</w:t>
            </w:r>
          </w:p>
          <w:p w14:paraId="7C53301B">
            <w:pPr>
              <w:jc w:val="left"/>
              <w:rPr>
                <w:rFonts w:hint="eastAsia" w:ascii="宋体" w:hAnsi="宋体" w:cs="宋体"/>
                <w:sz w:val="24"/>
              </w:rPr>
            </w:pPr>
            <w:r>
              <w:rPr>
                <w:rFonts w:ascii="宋体" w:hAnsi="宋体" w:cs="宋体"/>
                <w:sz w:val="24"/>
              </w:rPr>
              <w:t>4.任何行间插字、涂改和增删，必须由响应供应商授权人签字才有效。电传和传真的响应文件不被接受；</w:t>
            </w:r>
          </w:p>
          <w:p w14:paraId="1E69829B">
            <w:pPr>
              <w:jc w:val="left"/>
              <w:rPr>
                <w:rFonts w:hint="eastAsia" w:ascii="宋体" w:hAnsi="宋体" w:cs="宋体"/>
                <w:sz w:val="24"/>
              </w:rPr>
            </w:pPr>
            <w:r>
              <w:rPr>
                <w:rFonts w:ascii="宋体" w:hAnsi="宋体" w:cs="宋体"/>
                <w:sz w:val="24"/>
              </w:rPr>
              <w:t>5.响应文件须装订成册，响应文件所有内容须加盖报名供应商单位公章（红章）。响应文件需用信封密封封装并在所有封口处加盖报名供应商单位公章；</w:t>
            </w:r>
          </w:p>
          <w:p w14:paraId="50C44575">
            <w:pPr>
              <w:jc w:val="left"/>
              <w:rPr>
                <w:rFonts w:hint="eastAsia" w:ascii="宋体" w:hAnsi="宋体" w:cs="宋体"/>
                <w:sz w:val="24"/>
              </w:rPr>
            </w:pPr>
            <w:r>
              <w:rPr>
                <w:rFonts w:ascii="宋体" w:hAnsi="宋体" w:cs="宋体"/>
                <w:sz w:val="24"/>
              </w:rPr>
              <w:t>6.所有信封表面应清楚标明：项目名称、报名供应商名称、报名供应商地址、联系人、联系电话、报名时间。</w:t>
            </w:r>
          </w:p>
          <w:p w14:paraId="72E7CEEA">
            <w:pPr>
              <w:jc w:val="left"/>
              <w:rPr>
                <w:rFonts w:hint="eastAsia" w:ascii="宋体" w:hAnsi="宋体" w:cs="宋体"/>
                <w:sz w:val="24"/>
              </w:rPr>
            </w:pPr>
            <w:r>
              <w:rPr>
                <w:rFonts w:ascii="宋体" w:hAnsi="宋体" w:cs="宋体"/>
                <w:sz w:val="24"/>
              </w:rPr>
              <w:t>（二）响应文件递交</w:t>
            </w:r>
            <w:r>
              <w:rPr>
                <w:rFonts w:hint="eastAsia" w:ascii="宋体" w:hAnsi="宋体" w:cs="宋体"/>
                <w:sz w:val="24"/>
              </w:rPr>
              <w:t>：三亚市吉阳区榆亚路63号粤海医院疗养中心205办公室 范先生0898-88657341（寄达时间:2026年8月18日16:30前寄达）</w:t>
            </w:r>
          </w:p>
        </w:tc>
      </w:tr>
    </w:tbl>
    <w:p w14:paraId="2AD757FD">
      <w:pPr>
        <w:jc w:val="left"/>
        <w:rPr>
          <w:rFonts w:hint="eastAsia" w:ascii="宋体" w:hAnsi="宋体"/>
          <w:szCs w:val="21"/>
        </w:rPr>
      </w:pPr>
    </w:p>
    <w:sectPr>
      <w:headerReference r:id="rId3" w:type="default"/>
      <w:pgSz w:w="11906" w:h="16838"/>
      <w:pgMar w:top="426" w:right="720" w:bottom="720" w:left="72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方正小标宋简体">
    <w:altName w:val="黑体"/>
    <w:panose1 w:val="03000509000000000000"/>
    <w:charset w:val="86"/>
    <w:family w:val="script"/>
    <w:pitch w:val="default"/>
    <w:sig w:usb0="00000000" w:usb1="00000000" w:usb2="00000010" w:usb3="00000000" w:csb0="00040000" w:csb1="00000000"/>
  </w:font>
  <w:font w:name="Segoe UI Symbol">
    <w:panose1 w:val="020B0502040204020203"/>
    <w:charset w:val="00"/>
    <w:family w:val="swiss"/>
    <w:pitch w:val="default"/>
    <w:sig w:usb0="800001E3" w:usb1="1200FFEF" w:usb2="00040000" w:usb3="04000000" w:csb0="00000001" w:csb1="4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6446FA">
    <w:r>
      <w:pict>
        <v:shape id="WordPictureWatermark19867469" o:spid="_x0000_s3074" o:spt="75" type="#_x0000_t75" style="position:absolute;left:0pt;height:586.8pt;width:414.85pt;mso-position-horizontal:center;mso-position-horizontal-relative:margin;mso-position-vertical:center;mso-position-vertical-relative:margin;z-index:-251657216;mso-width-relative:page;mso-height-relative:page;" filled="f" o:preferrelative="t" stroked="f" coordsize="21600,21600" o:allowincell="f">
          <v:path/>
          <v:fill on="f" focussize="0,0"/>
          <v:stroke on="f" joinstyle="miter"/>
          <v:imagedata r:id="rId1" gain="19661f" blacklevel="22938f" o:title="1"/>
          <o:lock v:ext="edit" aspectratio="t"/>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2"/>
  <w:embedSystemFonts/>
  <w:bordersDoNotSurroundHeader w:val="1"/>
  <w:bordersDoNotSurroundFooter w:val="1"/>
  <w:documentProtection w:enforcement="0"/>
  <w:defaultTabStop w:val="420"/>
  <w:drawingGridVerticalSpacing w:val="156"/>
  <w:noPunctuationKerning w:val="1"/>
  <w:characterSpacingControl w:val="compressPunctuation"/>
  <w:hdrShapeDefaults>
    <o:shapelayout v:ext="edit">
      <o:idmap v:ext="edit" data="1,3"/>
    </o:shapelayou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1BA2B4D"/>
    <w:rsid w:val="00030756"/>
    <w:rsid w:val="000B35E5"/>
    <w:rsid w:val="00105FB7"/>
    <w:rsid w:val="00175DAC"/>
    <w:rsid w:val="00186152"/>
    <w:rsid w:val="00186228"/>
    <w:rsid w:val="001939F2"/>
    <w:rsid w:val="001D1802"/>
    <w:rsid w:val="001E3A68"/>
    <w:rsid w:val="001F3E42"/>
    <w:rsid w:val="00261DBB"/>
    <w:rsid w:val="00287E72"/>
    <w:rsid w:val="002A282B"/>
    <w:rsid w:val="002E7823"/>
    <w:rsid w:val="002F39EC"/>
    <w:rsid w:val="00327E3B"/>
    <w:rsid w:val="00337892"/>
    <w:rsid w:val="00343869"/>
    <w:rsid w:val="003D280A"/>
    <w:rsid w:val="00412044"/>
    <w:rsid w:val="0044073C"/>
    <w:rsid w:val="00473159"/>
    <w:rsid w:val="00500CCB"/>
    <w:rsid w:val="005049A5"/>
    <w:rsid w:val="00510D7D"/>
    <w:rsid w:val="0053379D"/>
    <w:rsid w:val="00566F85"/>
    <w:rsid w:val="0057046A"/>
    <w:rsid w:val="006456BE"/>
    <w:rsid w:val="006B70C5"/>
    <w:rsid w:val="007148E1"/>
    <w:rsid w:val="00717D6D"/>
    <w:rsid w:val="00726E2D"/>
    <w:rsid w:val="00776F53"/>
    <w:rsid w:val="007B3CD1"/>
    <w:rsid w:val="00821307"/>
    <w:rsid w:val="00827737"/>
    <w:rsid w:val="008529EA"/>
    <w:rsid w:val="00867025"/>
    <w:rsid w:val="008B0E8F"/>
    <w:rsid w:val="008B12AB"/>
    <w:rsid w:val="008E5312"/>
    <w:rsid w:val="00923490"/>
    <w:rsid w:val="0093477D"/>
    <w:rsid w:val="00961E02"/>
    <w:rsid w:val="00974B35"/>
    <w:rsid w:val="009F21EC"/>
    <w:rsid w:val="009F38EF"/>
    <w:rsid w:val="009F551B"/>
    <w:rsid w:val="00A50027"/>
    <w:rsid w:val="00A65B06"/>
    <w:rsid w:val="00AB6AA4"/>
    <w:rsid w:val="00B150D7"/>
    <w:rsid w:val="00BA54A8"/>
    <w:rsid w:val="00BC19AF"/>
    <w:rsid w:val="00BD1CE2"/>
    <w:rsid w:val="00BF03CD"/>
    <w:rsid w:val="00BF6DDF"/>
    <w:rsid w:val="00C62AD7"/>
    <w:rsid w:val="00CA1068"/>
    <w:rsid w:val="00CF388F"/>
    <w:rsid w:val="00D61871"/>
    <w:rsid w:val="00D716C6"/>
    <w:rsid w:val="00D96A89"/>
    <w:rsid w:val="00E52316"/>
    <w:rsid w:val="00E534E8"/>
    <w:rsid w:val="00F25C09"/>
    <w:rsid w:val="00F30D36"/>
    <w:rsid w:val="00F40833"/>
    <w:rsid w:val="00F62501"/>
    <w:rsid w:val="00F9533E"/>
    <w:rsid w:val="00FB18C6"/>
    <w:rsid w:val="00FB203F"/>
    <w:rsid w:val="00FB3C30"/>
    <w:rsid w:val="00FD141D"/>
    <w:rsid w:val="03673852"/>
    <w:rsid w:val="04140C91"/>
    <w:rsid w:val="04675A59"/>
    <w:rsid w:val="0FD95DEB"/>
    <w:rsid w:val="12C45281"/>
    <w:rsid w:val="24CC2A78"/>
    <w:rsid w:val="24CD3B77"/>
    <w:rsid w:val="2593636A"/>
    <w:rsid w:val="2600781C"/>
    <w:rsid w:val="2738180A"/>
    <w:rsid w:val="275A5861"/>
    <w:rsid w:val="28F42DF2"/>
    <w:rsid w:val="2DD85613"/>
    <w:rsid w:val="31BA2B4D"/>
    <w:rsid w:val="33B56E51"/>
    <w:rsid w:val="3F3A3AE4"/>
    <w:rsid w:val="42EC7A52"/>
    <w:rsid w:val="4A7D1626"/>
    <w:rsid w:val="4D421627"/>
    <w:rsid w:val="5EB57B81"/>
    <w:rsid w:val="600A5695"/>
    <w:rsid w:val="63AB45EF"/>
    <w:rsid w:val="668A66A9"/>
    <w:rsid w:val="681E413F"/>
    <w:rsid w:val="682E624F"/>
    <w:rsid w:val="68F86018"/>
    <w:rsid w:val="6CB54F04"/>
    <w:rsid w:val="6E631C64"/>
    <w:rsid w:val="70EE3C7B"/>
    <w:rsid w:val="72217026"/>
    <w:rsid w:val="72513A98"/>
    <w:rsid w:val="7757410F"/>
    <w:rsid w:val="77A575F5"/>
    <w:rsid w:val="7A9D3268"/>
    <w:rsid w:val="7ABA4D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qFormat="1" w:unhideWhenUsed="0" w:uiPriority="0" w:semiHidden="0" w:name="annotation text"/>
    <w:lsdException w:qFormat="1" w:uiPriority="0" w:semiHidden="0" w:name="header"/>
    <w:lsdException w:qFormat="1"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qFormat="1" w:uiPriority="1" w:semiHidden="0" w:name="Body Text"/>
    <w:lsdException w:uiPriority="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qFormat="1" w:unhideWhenUsed="0" w:uiPriority="0" w:semiHidden="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1">
    <w:name w:val="Default Paragraph Font"/>
    <w:semiHidden/>
    <w:unhideWhenUsed/>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3"/>
    <w:qFormat/>
    <w:uiPriority w:val="0"/>
    <w:pPr>
      <w:jc w:val="left"/>
    </w:pPr>
  </w:style>
  <w:style w:type="paragraph" w:styleId="3">
    <w:name w:val="Body Text"/>
    <w:basedOn w:val="1"/>
    <w:next w:val="4"/>
    <w:unhideWhenUsed/>
    <w:qFormat/>
    <w:uiPriority w:val="1"/>
    <w:pPr>
      <w:ind w:left="106"/>
    </w:pPr>
    <w:rPr>
      <w:rFonts w:hint="eastAsia" w:ascii="宋体" w:hAnsi="宋体"/>
      <w:sz w:val="19"/>
    </w:rPr>
  </w:style>
  <w:style w:type="paragraph" w:styleId="4">
    <w:name w:val="Body Text 2"/>
    <w:basedOn w:val="1"/>
    <w:qFormat/>
    <w:uiPriority w:val="0"/>
    <w:pPr>
      <w:spacing w:line="360" w:lineRule="auto"/>
    </w:pPr>
    <w:rPr>
      <w:sz w:val="24"/>
    </w:rPr>
  </w:style>
  <w:style w:type="paragraph" w:styleId="5">
    <w:name w:val="Balloon Text"/>
    <w:basedOn w:val="1"/>
    <w:link w:val="15"/>
    <w:qFormat/>
    <w:uiPriority w:val="0"/>
    <w:rPr>
      <w:sz w:val="18"/>
      <w:szCs w:val="18"/>
    </w:rPr>
  </w:style>
  <w:style w:type="paragraph" w:styleId="6">
    <w:name w:val="footer"/>
    <w:basedOn w:val="1"/>
    <w:link w:val="17"/>
    <w:unhideWhenUsed/>
    <w:qFormat/>
    <w:uiPriority w:val="0"/>
    <w:pPr>
      <w:tabs>
        <w:tab w:val="center" w:pos="4153"/>
        <w:tab w:val="right" w:pos="8306"/>
      </w:tabs>
      <w:snapToGrid w:val="0"/>
      <w:jc w:val="left"/>
    </w:pPr>
    <w:rPr>
      <w:sz w:val="18"/>
      <w:szCs w:val="18"/>
    </w:rPr>
  </w:style>
  <w:style w:type="paragraph" w:styleId="7">
    <w:name w:val="header"/>
    <w:basedOn w:val="1"/>
    <w:link w:val="16"/>
    <w:unhideWhenUsed/>
    <w:qFormat/>
    <w:uiPriority w:val="0"/>
    <w:pPr>
      <w:pBdr>
        <w:bottom w:val="single" w:color="auto" w:sz="6" w:space="1"/>
      </w:pBdr>
      <w:tabs>
        <w:tab w:val="center" w:pos="4153"/>
        <w:tab w:val="right" w:pos="8306"/>
      </w:tabs>
      <w:snapToGrid w:val="0"/>
      <w:jc w:val="center"/>
    </w:pPr>
    <w:rPr>
      <w:sz w:val="18"/>
      <w:szCs w:val="18"/>
    </w:rPr>
  </w:style>
  <w:style w:type="paragraph" w:styleId="8">
    <w:name w:val="Title"/>
    <w:basedOn w:val="1"/>
    <w:next w:val="1"/>
    <w:qFormat/>
    <w:uiPriority w:val="0"/>
    <w:pPr>
      <w:spacing w:before="240" w:after="60"/>
      <w:jc w:val="center"/>
      <w:outlineLvl w:val="0"/>
    </w:pPr>
    <w:rPr>
      <w:rFonts w:ascii="Cambria" w:hAnsi="Cambria"/>
      <w:b/>
      <w:bCs/>
      <w:sz w:val="32"/>
      <w:szCs w:val="32"/>
    </w:rPr>
  </w:style>
  <w:style w:type="paragraph" w:styleId="9">
    <w:name w:val="annotation subject"/>
    <w:basedOn w:val="2"/>
    <w:next w:val="2"/>
    <w:link w:val="14"/>
    <w:qFormat/>
    <w:uiPriority w:val="0"/>
    <w:rPr>
      <w:b/>
      <w:bCs/>
    </w:rPr>
  </w:style>
  <w:style w:type="character" w:styleId="12">
    <w:name w:val="annotation reference"/>
    <w:basedOn w:val="11"/>
    <w:qFormat/>
    <w:uiPriority w:val="0"/>
    <w:rPr>
      <w:sz w:val="21"/>
      <w:szCs w:val="21"/>
    </w:rPr>
  </w:style>
  <w:style w:type="character" w:customStyle="1" w:styleId="13">
    <w:name w:val="批注文字 字符"/>
    <w:basedOn w:val="11"/>
    <w:link w:val="2"/>
    <w:qFormat/>
    <w:uiPriority w:val="0"/>
    <w:rPr>
      <w:kern w:val="2"/>
      <w:sz w:val="21"/>
      <w:szCs w:val="24"/>
    </w:rPr>
  </w:style>
  <w:style w:type="character" w:customStyle="1" w:styleId="14">
    <w:name w:val="批注主题 字符"/>
    <w:basedOn w:val="13"/>
    <w:link w:val="9"/>
    <w:qFormat/>
    <w:uiPriority w:val="0"/>
    <w:rPr>
      <w:b/>
      <w:bCs/>
      <w:kern w:val="2"/>
      <w:sz w:val="21"/>
      <w:szCs w:val="24"/>
    </w:rPr>
  </w:style>
  <w:style w:type="character" w:customStyle="1" w:styleId="15">
    <w:name w:val="批注框文本 字符"/>
    <w:basedOn w:val="11"/>
    <w:link w:val="5"/>
    <w:qFormat/>
    <w:uiPriority w:val="0"/>
    <w:rPr>
      <w:kern w:val="2"/>
      <w:sz w:val="18"/>
      <w:szCs w:val="18"/>
    </w:rPr>
  </w:style>
  <w:style w:type="character" w:customStyle="1" w:styleId="16">
    <w:name w:val="页眉 字符"/>
    <w:basedOn w:val="11"/>
    <w:link w:val="7"/>
    <w:qFormat/>
    <w:uiPriority w:val="0"/>
    <w:rPr>
      <w:kern w:val="2"/>
      <w:sz w:val="18"/>
      <w:szCs w:val="18"/>
    </w:rPr>
  </w:style>
  <w:style w:type="character" w:customStyle="1" w:styleId="17">
    <w:name w:val="页脚 字符"/>
    <w:basedOn w:val="11"/>
    <w:link w:val="6"/>
    <w:qFormat/>
    <w:uiPriority w:val="0"/>
    <w:rPr>
      <w:kern w:val="2"/>
      <w:sz w:val="18"/>
      <w:szCs w:val="18"/>
    </w:rPr>
  </w:style>
  <w:style w:type="paragraph" w:customStyle="1" w:styleId="18">
    <w:name w:val="修订1"/>
    <w:hidden/>
    <w:unhideWhenUsed/>
    <w:qFormat/>
    <w:uiPriority w:val="99"/>
    <w:rPr>
      <w:rFonts w:ascii="Times New Roman" w:hAnsi="Times New Roman" w:eastAsia="宋体" w:cs="Times New Roman"/>
      <w:kern w:val="2"/>
      <w:sz w:val="21"/>
      <w:szCs w:val="24"/>
      <w:lang w:val="en-US" w:eastAsia="zh-CN" w:bidi="ar-SA"/>
    </w:rPr>
  </w:style>
  <w:style w:type="paragraph" w:styleId="19">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3074"/>
  </customShpExts>
</s:customData>
</file>

<file path=customXml/item2.xml><?xml version="1.0" encoding="utf-8"?>
<b:Sources xmlns:lc="http://schemas.openxmlformats.org/drawingml/2006/lockedCanvas" xmlns:comp="http://schemas.openxmlformats.org/drawingml/2006/compatibility" xmlns:we="http://schemas.microsoft.com/office/webextensions/webextension/2010/11" xmlns:wetp="http://schemas.microsoft.com/office/webextensions/taskpanes/2010/11" xmlns:w16cid="http://schemas.microsoft.com/office/word/2016/wordml/cid" xmlns:w16se="http://schemas.microsoft.com/office/word/2015/wordml/symex" xmlns:wps="http://schemas.microsoft.com/office/word/2010/wordprocessingShape" xmlns:b="http://schemas.openxmlformats.org/officeDocument/2006/bibliography" xmlns:odgm="http://opendope.org/SmartArt/DataHierarchy" xmlns:odi="http://opendope.org/components" xmlns:oda="http://opendope.org/answers" xmlns:odq="http://opendope.org/questions" xmlns:odc="http://opendope.org/conditions" xmlns:odx="http://opendope.org/xpaths" xmlns:cppr="http://schemas.microsoft.com/office/2006/coverPageProps" xmlns:pvml="urn:schemas-microsoft-com:office:powerpoint" xmlns:w10="urn:schemas-microsoft-com:office:word" xmlns:v="urn:schemas-microsoft-com:vml" xmlns:o="urn:schemas-microsoft-com:office:office" xmlns:xvml="urn:schemas-microsoft-com:office:excel" xmlns:dsp="http://schemas.microsoft.com/office/drawing/2008/diagram" xmlns:xdr="http://schemas.openxmlformats.org/drawingml/2006/spreadsheetDrawing" xmlns:pic="http://schemas.openxmlformats.org/drawingml/2006/picture" xmlns:dgm="http://schemas.openxmlformats.org/drawingml/2006/diagram" xmlns:c14="http://schemas.microsoft.com/office/drawing/2007/8/2/chart" xmlns:cdr="http://schemas.openxmlformats.org/drawingml/2006/chartDrawing" xmlns:c="http://schemas.openxmlformats.org/drawingml/2006/chart" xmlns:wne="http://schemas.microsoft.com/office/word/2006/wordml" xmlns:sl="http://schemas.openxmlformats.org/schemaLibrary/2006/main" xmlns:mc="http://schemas.openxmlformats.org/markup-compatibility/2006" xmlns:w15="http://schemas.microsoft.com/office/word/2012/wordml" xmlns:m="http://schemas.openxmlformats.org/officeDocument/2006/math" xmlns:wp14="http://schemas.microsoft.com/office/word/2010/wordprocessingDrawing" xmlns:a="http://schemas.openxmlformats.org/drawingml/2006/main" xmlns:wp="http://schemas.openxmlformats.org/drawingml/2006/wordprocessingDrawing" xmlns:w14="http://schemas.microsoft.com/office/word/2010/wordml" xmlns:r="http://schemas.openxmlformats.org/officeDocument/2006/relationships" xmlns:w="http://schemas.openxmlformats.org/wordprocessingml/2006/main" StyleName="APA" SelectedStyle="\APA.XSL"/>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2A933A1-4ACA-42E6-A0E3-E5684697435F}">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4</Pages>
  <Words>4195</Words>
  <Characters>4480</Characters>
  <Lines>32</Lines>
  <Paragraphs>9</Paragraphs>
  <TotalTime>37</TotalTime>
  <ScaleCrop>false</ScaleCrop>
  <LinksUpToDate>false</LinksUpToDate>
  <CharactersWithSpaces>4535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2026-08-11T04:04:00Z</dcterms:created>
  <dc:creator>张毅</dc:creator>
  <cp:lastModifiedBy>勿忘初心</cp:lastModifiedBy>
  <cp:lastPrinted>2022-04-27T02:48:00Z</cp:lastPrinted>
  <dcterms:modified xsi:type="dcterms:W3CDTF">2026-08-11T11:00:58Z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E06F5B92FC174B37B1B2AFDBF7D30187_13</vt:lpwstr>
  </property>
  <property fmtid="{D5CDD505-2E9C-101B-9397-08002B2CF9AE}" pid="4" name="KSOTemplateDocerSaveRecord">
    <vt:lpwstr>eyJoZGlkIjoiMzEwNTM5NzYwMDRjMzkwZTVkZjY2ODkwMGIxNGU0OTUiLCJ1c2VySWQiOiIzODY1MDMxNTcifQ==</vt:lpwstr>
  </property>
</Properties>
</file>